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21F4BD">
      <w:pPr>
        <w:jc w:val="center"/>
        <w:rPr>
          <w:rStyle w:val="37"/>
          <w:rFonts w:eastAsia="仿宋"/>
          <w:bCs w:val="0"/>
          <w:color w:val="000000" w:themeColor="text1"/>
          <w:sz w:val="36"/>
          <w:szCs w:val="36"/>
          <w14:textFill>
            <w14:solidFill>
              <w14:schemeClr w14:val="tx1"/>
            </w14:solidFill>
          </w14:textFill>
        </w:rPr>
      </w:pPr>
      <w:r>
        <w:rPr>
          <w:rStyle w:val="37"/>
          <w:rFonts w:eastAsia="仿宋"/>
          <w:bCs w:val="0"/>
          <w:color w:val="000000" w:themeColor="text1"/>
          <w:sz w:val="36"/>
          <w:szCs w:val="36"/>
          <w14:textFill>
            <w14:solidFill>
              <w14:schemeClr w14:val="tx1"/>
            </w14:solidFill>
          </w14:textFill>
        </w:rPr>
        <w:t>浙江省科学技术奖公示信息表</w:t>
      </w:r>
      <w:r>
        <w:rPr>
          <w:rStyle w:val="37"/>
          <w:rFonts w:eastAsia="仿宋"/>
          <w:bCs w:val="0"/>
          <w:color w:val="000000" w:themeColor="text1"/>
          <w:sz w:val="32"/>
          <w:szCs w:val="32"/>
          <w14:textFill>
            <w14:solidFill>
              <w14:schemeClr w14:val="tx1"/>
            </w14:solidFill>
          </w14:textFill>
        </w:rPr>
        <w:t>（单位提名）</w:t>
      </w:r>
    </w:p>
    <w:p w14:paraId="20B6D97E">
      <w:pPr>
        <w:spacing w:line="440" w:lineRule="exact"/>
        <w:rPr>
          <w:rFonts w:eastAsia="仿宋"/>
          <w:color w:val="000000" w:themeColor="text1"/>
          <w:sz w:val="28"/>
          <w:szCs w:val="24"/>
          <w14:textFill>
            <w14:solidFill>
              <w14:schemeClr w14:val="tx1"/>
            </w14:solidFill>
          </w14:textFill>
        </w:rPr>
      </w:pPr>
      <w:r>
        <w:rPr>
          <w:rFonts w:eastAsia="仿宋"/>
          <w:color w:val="000000" w:themeColor="text1"/>
          <w:sz w:val="28"/>
          <w:szCs w:val="24"/>
          <w14:textFill>
            <w14:solidFill>
              <w14:schemeClr w14:val="tx1"/>
            </w14:solidFill>
          </w14:textFill>
        </w:rPr>
        <w:t>提名奖项：（</w:t>
      </w:r>
      <w:bookmarkStart w:id="2" w:name="_GoBack"/>
      <w:bookmarkEnd w:id="2"/>
      <w:r>
        <w:rPr>
          <w:rFonts w:eastAsia="仿宋"/>
          <w:color w:val="000000" w:themeColor="text1"/>
          <w:sz w:val="28"/>
          <w:szCs w:val="24"/>
          <w14:textFill>
            <w14:solidFill>
              <w14:schemeClr w14:val="tx1"/>
            </w14:solidFill>
          </w14:textFill>
        </w:rPr>
        <w:t>自然科学奖）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31E8E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21C280A8">
            <w:pPr>
              <w:jc w:val="center"/>
              <w:rPr>
                <w:rStyle w:val="37"/>
                <w:rFonts w:eastAsia="仿宋"/>
                <w:b w:val="0"/>
                <w:color w:val="000000" w:themeColor="text1"/>
                <w:sz w:val="28"/>
                <w14:textFill>
                  <w14:solidFill>
                    <w14:schemeClr w14:val="tx1"/>
                  </w14:solidFill>
                </w14:textFill>
              </w:rPr>
            </w:pPr>
            <w:r>
              <w:rPr>
                <w:rStyle w:val="37"/>
                <w:rFonts w:eastAsia="仿宋"/>
                <w:b w:val="0"/>
                <w:bCs w:val="0"/>
                <w:color w:val="000000" w:themeColor="text1"/>
                <w:sz w:val="28"/>
                <w14:textFill>
                  <w14:solidFill>
                    <w14:schemeClr w14:val="tx1"/>
                  </w14:solidFill>
                </w14:textFill>
              </w:rPr>
              <w:t>成果名称</w:t>
            </w:r>
          </w:p>
        </w:tc>
        <w:tc>
          <w:tcPr>
            <w:tcW w:w="6237" w:type="dxa"/>
            <w:vAlign w:val="center"/>
          </w:tcPr>
          <w:p w14:paraId="3DCE6441">
            <w:pPr>
              <w:rPr>
                <w:rStyle w:val="37"/>
                <w:rFonts w:eastAsia="仿宋"/>
                <w:b w:val="0"/>
                <w:color w:val="000000" w:themeColor="text1"/>
                <w:sz w:val="28"/>
                <w14:textFill>
                  <w14:solidFill>
                    <w14:schemeClr w14:val="tx1"/>
                  </w14:solidFill>
                </w14:textFill>
              </w:rPr>
            </w:pPr>
            <w:r>
              <w:rPr>
                <w:rFonts w:eastAsia="仿宋"/>
                <w:bCs/>
                <w:color w:val="000000" w:themeColor="text1"/>
                <w:sz w:val="28"/>
                <w:szCs w:val="24"/>
                <w14:textFill>
                  <w14:solidFill>
                    <w14:schemeClr w14:val="tx1"/>
                  </w14:solidFill>
                </w14:textFill>
              </w:rPr>
              <w:t>脓毒症诱发重要脏器功能障碍机制及干预研究</w:t>
            </w:r>
          </w:p>
        </w:tc>
      </w:tr>
      <w:tr w14:paraId="6B4F7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269" w:type="dxa"/>
            <w:vAlign w:val="center"/>
          </w:tcPr>
          <w:p w14:paraId="4EDCFB7A">
            <w:pPr>
              <w:jc w:val="center"/>
              <w:rPr>
                <w:rStyle w:val="37"/>
                <w:rFonts w:eastAsia="仿宋"/>
                <w:b w:val="0"/>
                <w:color w:val="000000" w:themeColor="text1"/>
                <w:sz w:val="28"/>
                <w14:textFill>
                  <w14:solidFill>
                    <w14:schemeClr w14:val="tx1"/>
                  </w14:solidFill>
                </w14:textFill>
              </w:rPr>
            </w:pPr>
            <w:r>
              <w:rPr>
                <w:rStyle w:val="37"/>
                <w:rFonts w:eastAsia="仿宋"/>
                <w:b w:val="0"/>
                <w:bCs w:val="0"/>
                <w:color w:val="000000" w:themeColor="text1"/>
                <w:sz w:val="28"/>
                <w14:textFill>
                  <w14:solidFill>
                    <w14:schemeClr w14:val="tx1"/>
                  </w14:solidFill>
                </w14:textFill>
              </w:rPr>
              <w:t>提名等级</w:t>
            </w:r>
          </w:p>
        </w:tc>
        <w:tc>
          <w:tcPr>
            <w:tcW w:w="6237" w:type="dxa"/>
            <w:vAlign w:val="center"/>
          </w:tcPr>
          <w:p w14:paraId="0EA85848">
            <w:pPr>
              <w:rPr>
                <w:rStyle w:val="37"/>
                <w:rFonts w:eastAsia="仿宋"/>
                <w:b w:val="0"/>
                <w:color w:val="000000" w:themeColor="text1"/>
                <w:sz w:val="28"/>
                <w14:textFill>
                  <w14:solidFill>
                    <w14:schemeClr w14:val="tx1"/>
                  </w14:solidFill>
                </w14:textFill>
              </w:rPr>
            </w:pPr>
            <w:r>
              <w:rPr>
                <w:rFonts w:eastAsia="仿宋"/>
                <w:bCs/>
                <w:color w:val="000000" w:themeColor="text1"/>
                <w:sz w:val="28"/>
                <w:szCs w:val="24"/>
                <w14:textFill>
                  <w14:solidFill>
                    <w14:schemeClr w14:val="tx1"/>
                  </w14:solidFill>
                </w14:textFill>
              </w:rPr>
              <w:t xml:space="preserve">一等奖 </w:t>
            </w:r>
          </w:p>
        </w:tc>
      </w:tr>
      <w:tr w14:paraId="7F1BA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2269" w:type="dxa"/>
            <w:vAlign w:val="center"/>
          </w:tcPr>
          <w:p w14:paraId="629FD6AD">
            <w:pPr>
              <w:spacing w:after="0" w:line="240" w:lineRule="auto"/>
              <w:jc w:val="center"/>
              <w:rPr>
                <w:rFonts w:eastAsia="仿宋"/>
                <w:bCs/>
                <w:color w:val="000000" w:themeColor="text1"/>
                <w:sz w:val="28"/>
                <w:szCs w:val="24"/>
                <w14:textFill>
                  <w14:solidFill>
                    <w14:schemeClr w14:val="tx1"/>
                  </w14:solidFill>
                </w14:textFill>
              </w:rPr>
            </w:pPr>
            <w:r>
              <w:rPr>
                <w:rFonts w:eastAsia="仿宋"/>
                <w:bCs/>
                <w:color w:val="000000" w:themeColor="text1"/>
                <w:sz w:val="28"/>
                <w:szCs w:val="24"/>
                <w14:textFill>
                  <w14:solidFill>
                    <w14:schemeClr w14:val="tx1"/>
                  </w14:solidFill>
                </w14:textFill>
              </w:rPr>
              <w:t>提名书</w:t>
            </w:r>
          </w:p>
          <w:p w14:paraId="28FB9CAA">
            <w:pPr>
              <w:spacing w:after="0" w:line="240" w:lineRule="auto"/>
              <w:jc w:val="center"/>
              <w:rPr>
                <w:rFonts w:eastAsia="仿宋"/>
                <w:bCs/>
                <w:color w:val="000000" w:themeColor="text1"/>
                <w:sz w:val="28"/>
                <w:szCs w:val="24"/>
                <w14:textFill>
                  <w14:solidFill>
                    <w14:schemeClr w14:val="tx1"/>
                  </w14:solidFill>
                </w14:textFill>
              </w:rPr>
            </w:pPr>
            <w:r>
              <w:rPr>
                <w:rFonts w:eastAsia="仿宋"/>
                <w:bCs/>
                <w:color w:val="000000" w:themeColor="text1"/>
                <w:sz w:val="28"/>
                <w:szCs w:val="24"/>
                <w14:textFill>
                  <w14:solidFill>
                    <w14:schemeClr w14:val="tx1"/>
                  </w14:solidFill>
                </w14:textFill>
              </w:rPr>
              <w:t>相关内容</w:t>
            </w:r>
          </w:p>
        </w:tc>
        <w:tc>
          <w:tcPr>
            <w:tcW w:w="6237" w:type="dxa"/>
            <w:vAlign w:val="center"/>
          </w:tcPr>
          <w:p w14:paraId="1B45C62F">
            <w:pPr>
              <w:spacing w:after="0" w:line="240" w:lineRule="auto"/>
              <w:jc w:val="left"/>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自然科学奖：提名书的代表性论文专著目录、主要知识产权和标准规范目录</w:t>
            </w:r>
          </w:p>
          <w:p w14:paraId="2CE413F4">
            <w:pPr>
              <w:spacing w:after="0" w:line="240" w:lineRule="auto"/>
              <w:jc w:val="left"/>
              <w:rPr>
                <w:rFonts w:eastAsia="仿宋"/>
                <w:bCs/>
                <w:color w:val="000000" w:themeColor="text1"/>
                <w:sz w:val="24"/>
                <w:szCs w:val="24"/>
                <w14:textFill>
                  <w14:solidFill>
                    <w14:schemeClr w14:val="tx1"/>
                  </w14:solidFill>
                </w14:textFill>
              </w:rPr>
            </w:pPr>
          </w:p>
          <w:p w14:paraId="5F3493EC">
            <w:pPr>
              <w:spacing w:after="0" w:line="240" w:lineRule="auto"/>
              <w:rPr>
                <w:rFonts w:eastAsia="仿宋"/>
                <w:b/>
                <w:bCs/>
                <w:color w:val="000000" w:themeColor="text1"/>
                <w:sz w:val="24"/>
                <w:szCs w:val="24"/>
                <w14:textFill>
                  <w14:solidFill>
                    <w14:schemeClr w14:val="tx1"/>
                  </w14:solidFill>
                </w14:textFill>
              </w:rPr>
            </w:pPr>
            <w:r>
              <w:rPr>
                <w:rFonts w:eastAsia="仿宋"/>
                <w:b/>
                <w:bCs/>
                <w:color w:val="000000" w:themeColor="text1"/>
                <w:sz w:val="24"/>
                <w:szCs w:val="24"/>
                <w14:textFill>
                  <w14:solidFill>
                    <w14:schemeClr w14:val="tx1"/>
                  </w14:solidFill>
                </w14:textFill>
              </w:rPr>
              <w:t xml:space="preserve">见附件 </w:t>
            </w:r>
          </w:p>
        </w:tc>
      </w:tr>
      <w:tr w14:paraId="10B0B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631AAE00">
            <w:pPr>
              <w:spacing w:after="0" w:line="240" w:lineRule="auto"/>
              <w:jc w:val="center"/>
              <w:rPr>
                <w:rFonts w:eastAsia="仿宋"/>
                <w:bCs/>
                <w:color w:val="000000" w:themeColor="text1"/>
                <w:sz w:val="28"/>
                <w:szCs w:val="24"/>
                <w14:textFill>
                  <w14:solidFill>
                    <w14:schemeClr w14:val="tx1"/>
                  </w14:solidFill>
                </w14:textFill>
              </w:rPr>
            </w:pPr>
            <w:r>
              <w:rPr>
                <w:rFonts w:eastAsia="仿宋"/>
                <w:bCs/>
                <w:color w:val="000000" w:themeColor="text1"/>
                <w:sz w:val="28"/>
                <w:szCs w:val="24"/>
                <w14:textFill>
                  <w14:solidFill>
                    <w14:schemeClr w14:val="tx1"/>
                  </w14:solidFill>
                </w14:textFill>
              </w:rPr>
              <w:t>主要完成人</w:t>
            </w:r>
          </w:p>
        </w:tc>
        <w:tc>
          <w:tcPr>
            <w:tcW w:w="6237" w:type="dxa"/>
            <w:tcBorders>
              <w:left w:val="single" w:color="auto" w:sz="4" w:space="0"/>
            </w:tcBorders>
            <w:vAlign w:val="center"/>
          </w:tcPr>
          <w:p w14:paraId="11922F03">
            <w:pPr>
              <w:spacing w:after="0" w:line="240" w:lineRule="auto"/>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张召才，排名1，主任医师，浙江大学医学院附属第二医院</w:t>
            </w:r>
          </w:p>
          <w:p w14:paraId="302246FB">
            <w:pPr>
              <w:spacing w:after="0" w:line="240" w:lineRule="auto"/>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田宝平，排名2，副主任医师，浙江大学医学院附属第二医院</w:t>
            </w:r>
          </w:p>
          <w:p w14:paraId="5D20362D">
            <w:pPr>
              <w:spacing w:after="0" w:line="240" w:lineRule="auto"/>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徐银川，排名3，副主任医师，浙江大学医学院附属第二医院</w:t>
            </w:r>
          </w:p>
          <w:p w14:paraId="1D68F309">
            <w:pPr>
              <w:spacing w:after="0" w:line="240" w:lineRule="auto"/>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戎佳炳，排名</w:t>
            </w:r>
            <w:r>
              <w:rPr>
                <w:rFonts w:hint="eastAsia" w:eastAsia="仿宋"/>
                <w:bCs/>
                <w:color w:val="000000" w:themeColor="text1"/>
                <w:sz w:val="24"/>
                <w:szCs w:val="24"/>
                <w14:textFill>
                  <w14:solidFill>
                    <w14:schemeClr w14:val="tx1"/>
                  </w14:solidFill>
                </w14:textFill>
              </w:rPr>
              <w:t>4</w:t>
            </w:r>
            <w:r>
              <w:rPr>
                <w:rFonts w:eastAsia="仿宋"/>
                <w:bCs/>
                <w:color w:val="000000" w:themeColor="text1"/>
                <w:sz w:val="24"/>
                <w:szCs w:val="24"/>
                <w14:textFill>
                  <w14:solidFill>
                    <w14:schemeClr w14:val="tx1"/>
                  </w14:solidFill>
                </w14:textFill>
              </w:rPr>
              <w:t>，主治医师，浙江大学医学院附属第二医院</w:t>
            </w:r>
          </w:p>
          <w:p w14:paraId="489ED726">
            <w:pPr>
              <w:spacing w:after="0" w:line="240" w:lineRule="auto"/>
              <w:rPr>
                <w:rFonts w:eastAsia="仿宋"/>
                <w:bCs/>
                <w:color w:val="000000" w:themeColor="text1"/>
                <w:sz w:val="24"/>
                <w:szCs w:val="24"/>
                <w14:textFill>
                  <w14:solidFill>
                    <w14:schemeClr w14:val="tx1"/>
                  </w14:solidFill>
                </w14:textFill>
              </w:rPr>
            </w:pPr>
            <w:r>
              <w:rPr>
                <w:rFonts w:hint="eastAsia" w:eastAsia="仿宋"/>
                <w:bCs/>
                <w:color w:val="000000" w:themeColor="text1"/>
                <w:sz w:val="24"/>
                <w:szCs w:val="24"/>
                <w14:textFill>
                  <w14:solidFill>
                    <w14:schemeClr w14:val="tx1"/>
                  </w14:solidFill>
                </w14:textFill>
              </w:rPr>
              <w:t>林瑶</w:t>
            </w:r>
            <w:r>
              <w:rPr>
                <w:rFonts w:eastAsia="仿宋"/>
                <w:bCs/>
                <w:color w:val="000000" w:themeColor="text1"/>
                <w:sz w:val="24"/>
                <w:szCs w:val="24"/>
                <w14:textFill>
                  <w14:solidFill>
                    <w14:schemeClr w14:val="tx1"/>
                  </w14:solidFill>
                </w14:textFill>
              </w:rPr>
              <w:t>，排名</w:t>
            </w:r>
            <w:r>
              <w:rPr>
                <w:rFonts w:hint="eastAsia" w:eastAsia="仿宋"/>
                <w:bCs/>
                <w:color w:val="000000" w:themeColor="text1"/>
                <w:sz w:val="24"/>
                <w:szCs w:val="24"/>
                <w14:textFill>
                  <w14:solidFill>
                    <w14:schemeClr w14:val="tx1"/>
                  </w14:solidFill>
                </w14:textFill>
              </w:rPr>
              <w:t>5</w:t>
            </w:r>
            <w:r>
              <w:rPr>
                <w:rFonts w:eastAsia="仿宋"/>
                <w:bCs/>
                <w:color w:val="000000" w:themeColor="text1"/>
                <w:sz w:val="24"/>
                <w:szCs w:val="24"/>
                <w14:textFill>
                  <w14:solidFill>
                    <w14:schemeClr w14:val="tx1"/>
                  </w14:solidFill>
                </w14:textFill>
              </w:rPr>
              <w:t>，医师，浙江大学医学院附属第二医院</w:t>
            </w:r>
          </w:p>
        </w:tc>
      </w:tr>
      <w:tr w14:paraId="02AD8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2269" w:type="dxa"/>
            <w:tcBorders>
              <w:right w:val="single" w:color="auto" w:sz="4" w:space="0"/>
            </w:tcBorders>
            <w:vAlign w:val="center"/>
          </w:tcPr>
          <w:p w14:paraId="66853C20">
            <w:pPr>
              <w:spacing w:after="0" w:line="240" w:lineRule="auto"/>
              <w:jc w:val="center"/>
              <w:rPr>
                <w:rFonts w:eastAsia="仿宋"/>
                <w:bCs/>
                <w:color w:val="000000" w:themeColor="text1"/>
                <w:sz w:val="24"/>
                <w:szCs w:val="24"/>
                <w14:textFill>
                  <w14:solidFill>
                    <w14:schemeClr w14:val="tx1"/>
                  </w14:solidFill>
                </w14:textFill>
              </w:rPr>
            </w:pPr>
            <w:r>
              <w:rPr>
                <w:rFonts w:eastAsia="仿宋"/>
                <w:bCs/>
                <w:color w:val="000000" w:themeColor="text1"/>
                <w:sz w:val="28"/>
                <w:szCs w:val="24"/>
                <w14:textFill>
                  <w14:solidFill>
                    <w14:schemeClr w14:val="tx1"/>
                  </w14:solidFill>
                </w14:textFill>
              </w:rPr>
              <w:t>主要完成单位</w:t>
            </w:r>
          </w:p>
        </w:tc>
        <w:tc>
          <w:tcPr>
            <w:tcW w:w="6237" w:type="dxa"/>
            <w:tcBorders>
              <w:left w:val="single" w:color="auto" w:sz="4" w:space="0"/>
            </w:tcBorders>
            <w:vAlign w:val="center"/>
          </w:tcPr>
          <w:p w14:paraId="2F80FE6E">
            <w:pPr>
              <w:spacing w:after="0" w:line="240" w:lineRule="auto"/>
              <w:jc w:val="left"/>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浙江大学医学院附属第二医院</w:t>
            </w:r>
          </w:p>
        </w:tc>
      </w:tr>
      <w:tr w14:paraId="08EAD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5550C668">
            <w:pPr>
              <w:spacing w:after="0" w:line="240" w:lineRule="auto"/>
              <w:jc w:val="center"/>
              <w:rPr>
                <w:rStyle w:val="37"/>
                <w:rFonts w:eastAsia="仿宋"/>
                <w:b w:val="0"/>
                <w:color w:val="000000" w:themeColor="text1"/>
                <w:sz w:val="28"/>
                <w:szCs w:val="28"/>
                <w14:textFill>
                  <w14:solidFill>
                    <w14:schemeClr w14:val="tx1"/>
                  </w14:solidFill>
                </w14:textFill>
              </w:rPr>
            </w:pPr>
            <w:r>
              <w:rPr>
                <w:rStyle w:val="37"/>
                <w:rFonts w:eastAsia="仿宋"/>
                <w:b w:val="0"/>
                <w:color w:val="000000" w:themeColor="text1"/>
                <w:sz w:val="28"/>
                <w:szCs w:val="28"/>
                <w14:textFill>
                  <w14:solidFill>
                    <w14:schemeClr w14:val="tx1"/>
                  </w14:solidFill>
                </w14:textFill>
              </w:rPr>
              <w:t>提名单位</w:t>
            </w:r>
          </w:p>
        </w:tc>
        <w:tc>
          <w:tcPr>
            <w:tcW w:w="6237" w:type="dxa"/>
            <w:vAlign w:val="center"/>
          </w:tcPr>
          <w:p w14:paraId="16D8741B">
            <w:pPr>
              <w:spacing w:after="0" w:line="240" w:lineRule="auto"/>
              <w:contextualSpacing/>
              <w:rPr>
                <w:rStyle w:val="37"/>
                <w:rFonts w:eastAsia="仿宋"/>
                <w:b w:val="0"/>
                <w:color w:val="000000" w:themeColor="text1"/>
                <w14:textFill>
                  <w14:solidFill>
                    <w14:schemeClr w14:val="tx1"/>
                  </w14:solidFill>
                </w14:textFill>
              </w:rPr>
            </w:pPr>
            <w:r>
              <w:rPr>
                <w:rStyle w:val="37"/>
                <w:rFonts w:eastAsia="仿宋"/>
                <w:b w:val="0"/>
                <w:color w:val="000000" w:themeColor="text1"/>
                <w14:textFill>
                  <w14:solidFill>
                    <w14:schemeClr w14:val="tx1"/>
                  </w14:solidFill>
                </w14:textFill>
              </w:rPr>
              <w:t>浙江大学</w:t>
            </w:r>
          </w:p>
        </w:tc>
      </w:tr>
      <w:tr w14:paraId="79044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6" w:hRule="atLeast"/>
        </w:trPr>
        <w:tc>
          <w:tcPr>
            <w:tcW w:w="2269" w:type="dxa"/>
            <w:vAlign w:val="center"/>
          </w:tcPr>
          <w:p w14:paraId="356C0136">
            <w:pPr>
              <w:spacing w:after="0" w:line="240" w:lineRule="auto"/>
              <w:jc w:val="center"/>
              <w:rPr>
                <w:rStyle w:val="37"/>
                <w:rFonts w:eastAsia="仿宋"/>
                <w:b w:val="0"/>
                <w:color w:val="000000" w:themeColor="text1"/>
                <w:sz w:val="28"/>
                <w:szCs w:val="28"/>
                <w14:textFill>
                  <w14:solidFill>
                    <w14:schemeClr w14:val="tx1"/>
                  </w14:solidFill>
                </w14:textFill>
              </w:rPr>
            </w:pPr>
            <w:r>
              <w:rPr>
                <w:rStyle w:val="37"/>
                <w:rFonts w:eastAsia="仿宋"/>
                <w:b w:val="0"/>
                <w:color w:val="000000" w:themeColor="text1"/>
                <w:sz w:val="28"/>
                <w:szCs w:val="28"/>
                <w14:textFill>
                  <w14:solidFill>
                    <w14:schemeClr w14:val="tx1"/>
                  </w14:solidFill>
                </w14:textFill>
              </w:rPr>
              <w:t>提名意见</w:t>
            </w:r>
          </w:p>
        </w:tc>
        <w:tc>
          <w:tcPr>
            <w:tcW w:w="6237" w:type="dxa"/>
            <w:vAlign w:val="center"/>
          </w:tcPr>
          <w:p w14:paraId="0DEC7514">
            <w:pPr>
              <w:spacing w:after="0" w:line="240" w:lineRule="auto"/>
              <w:ind w:firstLine="480" w:firstLineChars="200"/>
              <w:contextualSpacing/>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本项目深入研究了脓毒症诱发的重要脏器功能障碍核心机制及其干预策略。通过构建多种脓毒症动物模型，揭示了自噬、肝源性血管紧张素原（AGT）及Sirt3在脓毒症心肌功能障碍中的关键作用，并探索了相应的干预手段，发现增强自噬、抑制AGT及激活Sirt3均可显著改善脓毒症心肌功能。研发了新型纳米制剂，有效缓解了炎症细胞浸润和肺损伤。此外，项目还开发了多生物标志物联合检测策略，提升了脓毒症心肌功能障碍的诊断和死亡率预测准确性。这些研究为脓毒症诱发的重要脏器功能障碍的机制理解和临床治疗提供了创新性方案，具有重要的科学价值和临床应用潜力，推荐申报浙江省科学技术奖自然科学奖。</w:t>
            </w:r>
          </w:p>
          <w:p w14:paraId="0B7740F9">
            <w:pPr>
              <w:spacing w:after="0" w:line="240" w:lineRule="auto"/>
              <w:contextualSpacing/>
              <w:jc w:val="center"/>
              <w:rPr>
                <w:rStyle w:val="37"/>
                <w:rFonts w:eastAsia="仿宋"/>
                <w:b w:val="0"/>
                <w:color w:val="000000" w:themeColor="text1"/>
                <w14:textFill>
                  <w14:solidFill>
                    <w14:schemeClr w14:val="tx1"/>
                  </w14:solidFill>
                </w14:textFill>
              </w:rPr>
            </w:pPr>
          </w:p>
        </w:tc>
      </w:tr>
    </w:tbl>
    <w:p w14:paraId="75D0490B">
      <w:pPr>
        <w:adjustRightInd w:val="0"/>
        <w:snapToGrid w:val="0"/>
        <w:spacing w:line="560" w:lineRule="exact"/>
        <w:rPr>
          <w:rFonts w:eastAsia="仿宋"/>
          <w:color w:val="000000" w:themeColor="text1"/>
          <w:sz w:val="32"/>
          <w:szCs w:val="32"/>
          <w14:textFill>
            <w14:solidFill>
              <w14:schemeClr w14:val="tx1"/>
            </w14:solidFill>
          </w14:textFill>
        </w:rPr>
      </w:pPr>
    </w:p>
    <w:p w14:paraId="57B5C9A7">
      <w:pPr>
        <w:adjustRightInd w:val="0"/>
        <w:snapToGrid w:val="0"/>
        <w:spacing w:line="560" w:lineRule="exact"/>
        <w:rPr>
          <w:rFonts w:eastAsia="仿宋"/>
          <w:color w:val="000000" w:themeColor="text1"/>
          <w:sz w:val="32"/>
          <w:szCs w:val="32"/>
          <w14:textFill>
            <w14:solidFill>
              <w14:schemeClr w14:val="tx1"/>
            </w14:solidFill>
          </w14:textFill>
        </w:rPr>
      </w:pPr>
    </w:p>
    <w:p w14:paraId="662A0140">
      <w:pPr>
        <w:adjustRightInd w:val="0"/>
        <w:snapToGrid w:val="0"/>
        <w:spacing w:line="560" w:lineRule="exact"/>
        <w:rPr>
          <w:rFonts w:eastAsia="仿宋"/>
          <w:color w:val="000000" w:themeColor="text1"/>
          <w:sz w:val="32"/>
          <w:szCs w:val="32"/>
          <w14:textFill>
            <w14:solidFill>
              <w14:schemeClr w14:val="tx1"/>
            </w14:solidFill>
          </w14:textFill>
        </w:rPr>
        <w:sectPr>
          <w:headerReference r:id="rId7"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1249584D">
      <w:pPr>
        <w:jc w:val="center"/>
        <w:rPr>
          <w:rFonts w:eastAsia="仿宋"/>
          <w:color w:val="000000" w:themeColor="text1"/>
          <w:sz w:val="32"/>
          <w:szCs w:val="22"/>
          <w14:textFill>
            <w14:solidFill>
              <w14:schemeClr w14:val="tx1"/>
            </w14:solidFill>
          </w14:textFill>
        </w:rPr>
      </w:pPr>
      <w:bookmarkStart w:id="0" w:name="XM_SOSIETY"/>
      <w:bookmarkEnd w:id="0"/>
      <w:r>
        <w:rPr>
          <w:rFonts w:eastAsia="仿宋"/>
          <w:color w:val="000000" w:themeColor="text1"/>
          <w:sz w:val="32"/>
          <w:szCs w:val="22"/>
          <w14:textFill>
            <w14:solidFill>
              <w14:schemeClr w14:val="tx1"/>
            </w14:solidFill>
          </w14:textFill>
        </w:rPr>
        <w:t>六、代表性论文专著目录（不超过8篇）</w:t>
      </w:r>
    </w:p>
    <w:tbl>
      <w:tblPr>
        <w:tblStyle w:val="16"/>
        <w:tblW w:w="14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321"/>
        <w:gridCol w:w="1985"/>
        <w:gridCol w:w="1276"/>
        <w:gridCol w:w="1275"/>
        <w:gridCol w:w="1276"/>
        <w:gridCol w:w="2529"/>
        <w:gridCol w:w="923"/>
        <w:gridCol w:w="921"/>
      </w:tblGrid>
      <w:tr w14:paraId="030F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38" w:type="dxa"/>
            <w:tcMar>
              <w:top w:w="0" w:type="dxa"/>
              <w:left w:w="0" w:type="dxa"/>
              <w:bottom w:w="0" w:type="dxa"/>
              <w:right w:w="0" w:type="dxa"/>
            </w:tcMar>
            <w:vAlign w:val="center"/>
          </w:tcPr>
          <w:p w14:paraId="22CD2EB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3321" w:type="dxa"/>
            <w:tcMar>
              <w:top w:w="0" w:type="dxa"/>
              <w:left w:w="0" w:type="dxa"/>
              <w:bottom w:w="0" w:type="dxa"/>
              <w:right w:w="0" w:type="dxa"/>
            </w:tcMar>
            <w:vAlign w:val="center"/>
          </w:tcPr>
          <w:p w14:paraId="34859A1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论文专著名称/刊名</w:t>
            </w:r>
          </w:p>
        </w:tc>
        <w:tc>
          <w:tcPr>
            <w:tcW w:w="1985" w:type="dxa"/>
            <w:tcMar>
              <w:top w:w="0" w:type="dxa"/>
              <w:left w:w="0" w:type="dxa"/>
              <w:bottom w:w="0" w:type="dxa"/>
              <w:right w:w="0" w:type="dxa"/>
            </w:tcMar>
            <w:vAlign w:val="center"/>
          </w:tcPr>
          <w:p w14:paraId="0475310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年卷页码（xx年xx卷xx页）</w:t>
            </w:r>
          </w:p>
        </w:tc>
        <w:tc>
          <w:tcPr>
            <w:tcW w:w="1276" w:type="dxa"/>
            <w:tcMar>
              <w:top w:w="0" w:type="dxa"/>
              <w:left w:w="0" w:type="dxa"/>
              <w:bottom w:w="0" w:type="dxa"/>
              <w:right w:w="0" w:type="dxa"/>
            </w:tcMar>
            <w:vAlign w:val="center"/>
          </w:tcPr>
          <w:p w14:paraId="1EE5EC9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发表</w:t>
            </w:r>
          </w:p>
          <w:p w14:paraId="75B27F5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时间</w:t>
            </w:r>
          </w:p>
          <w:p w14:paraId="5BCD5EE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（年、月）</w:t>
            </w:r>
          </w:p>
        </w:tc>
        <w:tc>
          <w:tcPr>
            <w:tcW w:w="1275" w:type="dxa"/>
            <w:tcMar>
              <w:top w:w="0" w:type="dxa"/>
              <w:left w:w="0" w:type="dxa"/>
              <w:bottom w:w="0" w:type="dxa"/>
              <w:right w:w="0" w:type="dxa"/>
            </w:tcMar>
            <w:vAlign w:val="center"/>
          </w:tcPr>
          <w:p w14:paraId="70BE229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通讯</w:t>
            </w:r>
          </w:p>
          <w:p w14:paraId="494141C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作者</w:t>
            </w:r>
          </w:p>
        </w:tc>
        <w:tc>
          <w:tcPr>
            <w:tcW w:w="1276" w:type="dxa"/>
            <w:tcMar>
              <w:top w:w="0" w:type="dxa"/>
              <w:left w:w="0" w:type="dxa"/>
              <w:bottom w:w="0" w:type="dxa"/>
              <w:right w:w="0" w:type="dxa"/>
            </w:tcMar>
            <w:vAlign w:val="center"/>
          </w:tcPr>
          <w:p w14:paraId="6784A01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第一</w:t>
            </w:r>
          </w:p>
          <w:p w14:paraId="65FE92C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作者</w:t>
            </w:r>
          </w:p>
        </w:tc>
        <w:tc>
          <w:tcPr>
            <w:tcW w:w="2529" w:type="dxa"/>
            <w:tcMar>
              <w:top w:w="0" w:type="dxa"/>
              <w:left w:w="0" w:type="dxa"/>
              <w:bottom w:w="0" w:type="dxa"/>
              <w:right w:w="0" w:type="dxa"/>
            </w:tcMar>
            <w:vAlign w:val="center"/>
          </w:tcPr>
          <w:p w14:paraId="7251E93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所有作者（按排序）</w:t>
            </w:r>
          </w:p>
        </w:tc>
        <w:tc>
          <w:tcPr>
            <w:tcW w:w="923" w:type="dxa"/>
            <w:tcMar>
              <w:top w:w="0" w:type="dxa"/>
              <w:left w:w="0" w:type="dxa"/>
              <w:bottom w:w="0" w:type="dxa"/>
              <w:right w:w="0" w:type="dxa"/>
            </w:tcMar>
            <w:vAlign w:val="center"/>
          </w:tcPr>
          <w:p w14:paraId="4B6D6FD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他引</w:t>
            </w:r>
          </w:p>
          <w:p w14:paraId="4067C10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总次数</w:t>
            </w:r>
          </w:p>
        </w:tc>
        <w:tc>
          <w:tcPr>
            <w:tcW w:w="921" w:type="dxa"/>
            <w:tcMar>
              <w:top w:w="0" w:type="dxa"/>
              <w:left w:w="0" w:type="dxa"/>
              <w:bottom w:w="0" w:type="dxa"/>
              <w:right w:w="0" w:type="dxa"/>
            </w:tcMar>
            <w:vAlign w:val="center"/>
          </w:tcPr>
          <w:p w14:paraId="6764048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检索数据库</w:t>
            </w:r>
          </w:p>
        </w:tc>
      </w:tr>
      <w:tr w14:paraId="1210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exact"/>
          <w:jc w:val="center"/>
        </w:trPr>
        <w:tc>
          <w:tcPr>
            <w:tcW w:w="638" w:type="dxa"/>
            <w:vAlign w:val="center"/>
          </w:tcPr>
          <w:p w14:paraId="0BB203D4">
            <w:pPr>
              <w:spacing w:after="0" w:line="240" w:lineRule="auto"/>
              <w:jc w:val="left"/>
              <w:rPr>
                <w:rFonts w:eastAsia="仿宋"/>
                <w:color w:val="000000" w:themeColor="text1"/>
                <w:sz w:val="18"/>
                <w:szCs w:val="18"/>
                <w14:textFill>
                  <w14:solidFill>
                    <w14:schemeClr w14:val="tx1"/>
                  </w14:solidFill>
                </w14:textFill>
              </w:rPr>
            </w:pPr>
            <w:r>
              <w:rPr>
                <w:rFonts w:hint="eastAsia" w:eastAsia="仿宋"/>
                <w:color w:val="000000" w:themeColor="text1"/>
                <w:sz w:val="18"/>
                <w:szCs w:val="18"/>
                <w14:textFill>
                  <w14:solidFill>
                    <w14:schemeClr w14:val="tx1"/>
                  </w14:solidFill>
                </w14:textFill>
              </w:rPr>
              <w:t>1</w:t>
            </w:r>
          </w:p>
        </w:tc>
        <w:tc>
          <w:tcPr>
            <w:tcW w:w="3321" w:type="dxa"/>
            <w:vAlign w:val="center"/>
          </w:tcPr>
          <w:p w14:paraId="759912EA">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w:t>
            </w:r>
            <w:r>
              <w:rPr>
                <w:rFonts w:hint="eastAsia" w:eastAsia="仿宋"/>
                <w:color w:val="000000" w:themeColor="text1"/>
                <w:sz w:val="18"/>
                <w:szCs w:val="18"/>
                <w14:textFill>
                  <w14:solidFill>
                    <w14:schemeClr w14:val="tx1"/>
                  </w14:solidFill>
                </w14:textFill>
              </w:rPr>
              <w:t>：</w:t>
            </w:r>
            <w:r>
              <w:rPr>
                <w:rFonts w:eastAsia="仿宋"/>
                <w:color w:val="000000" w:themeColor="text1"/>
                <w:sz w:val="18"/>
                <w:szCs w:val="18"/>
                <w14:textFill>
                  <w14:solidFill>
                    <w14:schemeClr w14:val="tx1"/>
                  </w14:solidFill>
                </w14:textFill>
              </w:rPr>
              <w:t>The attenuation of Th1 and Th17 responses via autophagy protects against methicillin-resistant Staphylococcus aureus-induced sepsis</w:t>
            </w:r>
          </w:p>
          <w:p w14:paraId="47498CA5">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刊名：Microbes And Infection</w:t>
            </w:r>
          </w:p>
        </w:tc>
        <w:tc>
          <w:tcPr>
            <w:tcW w:w="1985" w:type="dxa"/>
            <w:vAlign w:val="center"/>
          </w:tcPr>
          <w:p w14:paraId="635C3A6E">
            <w:pPr>
              <w:spacing w:after="0" w:line="360" w:lineRule="auto"/>
              <w:contextualSpacing/>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2021; 23 (8): 104833.</w:t>
            </w:r>
          </w:p>
          <w:p w14:paraId="6BA56B5B">
            <w:pPr>
              <w:spacing w:after="0" w:line="360" w:lineRule="auto"/>
              <w:contextualSpacing/>
              <w:jc w:val="left"/>
              <w:rPr>
                <w:rFonts w:eastAsia="仿宋"/>
                <w:color w:val="000000" w:themeColor="text1"/>
                <w:sz w:val="18"/>
                <w:szCs w:val="18"/>
                <w14:textFill>
                  <w14:solidFill>
                    <w14:schemeClr w14:val="tx1"/>
                  </w14:solidFill>
                </w14:textFill>
              </w:rPr>
            </w:pPr>
          </w:p>
        </w:tc>
        <w:tc>
          <w:tcPr>
            <w:tcW w:w="1276" w:type="dxa"/>
            <w:vAlign w:val="center"/>
          </w:tcPr>
          <w:p w14:paraId="441484F5">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2021.09</w:t>
            </w:r>
          </w:p>
        </w:tc>
        <w:tc>
          <w:tcPr>
            <w:tcW w:w="1275" w:type="dxa"/>
            <w:vAlign w:val="center"/>
          </w:tcPr>
          <w:p w14:paraId="623D916E">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Gensheng Zhang, Meixiang Xiang</w:t>
            </w:r>
          </w:p>
        </w:tc>
        <w:tc>
          <w:tcPr>
            <w:tcW w:w="1276" w:type="dxa"/>
            <w:vAlign w:val="center"/>
          </w:tcPr>
          <w:p w14:paraId="6F010E69">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Shufang Zhang, Xiaofang Huang, Huiqing Xiu</w:t>
            </w:r>
          </w:p>
        </w:tc>
        <w:tc>
          <w:tcPr>
            <w:tcW w:w="2529" w:type="dxa"/>
            <w:vAlign w:val="center"/>
          </w:tcPr>
          <w:p w14:paraId="1692D01A">
            <w:pPr>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Shufang Zhang, Xiaofang Huang, Huiqing Xiu, Zhongheng Zhang, Kai Zhang, Jiachang Cai, Zhijian Cai, Zhanghui Chen, Zhaocai Zhang, Wei Cui, Gensheng Zhang, Meixiang Xiang</w:t>
            </w:r>
          </w:p>
        </w:tc>
        <w:tc>
          <w:tcPr>
            <w:tcW w:w="923" w:type="dxa"/>
            <w:vAlign w:val="center"/>
          </w:tcPr>
          <w:p w14:paraId="194635F6">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13</w:t>
            </w:r>
          </w:p>
        </w:tc>
        <w:tc>
          <w:tcPr>
            <w:tcW w:w="921" w:type="dxa"/>
            <w:vAlign w:val="center"/>
          </w:tcPr>
          <w:p w14:paraId="3590E0E8">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3EF9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exact"/>
          <w:jc w:val="center"/>
        </w:trPr>
        <w:tc>
          <w:tcPr>
            <w:tcW w:w="638" w:type="dxa"/>
            <w:vAlign w:val="center"/>
          </w:tcPr>
          <w:p w14:paraId="54671B27">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w:t>
            </w:r>
          </w:p>
        </w:tc>
        <w:tc>
          <w:tcPr>
            <w:tcW w:w="3321" w:type="dxa"/>
            <w:vAlign w:val="center"/>
          </w:tcPr>
          <w:p w14:paraId="36CDC41B">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论文名称：Loss of Hepatic Angiotensinogen Attenuates Sepsis-Induced Myocardial Dysfunction</w:t>
            </w:r>
          </w:p>
          <w:p w14:paraId="12897732">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刊名：Circulation Research</w:t>
            </w:r>
          </w:p>
        </w:tc>
        <w:tc>
          <w:tcPr>
            <w:tcW w:w="1985" w:type="dxa"/>
            <w:vAlign w:val="center"/>
          </w:tcPr>
          <w:p w14:paraId="3EAE6C57">
            <w:pPr>
              <w:spacing w:after="0" w:line="360" w:lineRule="auto"/>
              <w:contextualSpacing/>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2021;129 (5): 547-564.</w:t>
            </w:r>
          </w:p>
        </w:tc>
        <w:tc>
          <w:tcPr>
            <w:tcW w:w="1276" w:type="dxa"/>
            <w:vAlign w:val="center"/>
          </w:tcPr>
          <w:p w14:paraId="447F21C4">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2021.08</w:t>
            </w:r>
          </w:p>
        </w:tc>
        <w:tc>
          <w:tcPr>
            <w:tcW w:w="1275" w:type="dxa"/>
            <w:vAlign w:val="center"/>
          </w:tcPr>
          <w:p w14:paraId="5C3F4613">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 Yinchuan Xu, Jian'an Wang</w:t>
            </w:r>
          </w:p>
        </w:tc>
        <w:tc>
          <w:tcPr>
            <w:tcW w:w="1276" w:type="dxa"/>
            <w:vAlign w:val="center"/>
          </w:tcPr>
          <w:p w14:paraId="027039FF">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Jiabing Rong, Xinran Tao</w:t>
            </w:r>
          </w:p>
        </w:tc>
        <w:tc>
          <w:tcPr>
            <w:tcW w:w="2529" w:type="dxa"/>
            <w:vAlign w:val="center"/>
          </w:tcPr>
          <w:p w14:paraId="71C58835">
            <w:pPr>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Jiabing Rong, Xinran Tao, Yao Lin, Haiqiong Zheng, Le Ning, Hong S Lu, Alan Daugherty, Peng Shi, Adam E Mullick, Sicong Chen, Zhaocai Zhang, Yinchuan Xu, Jian'an Wang</w:t>
            </w:r>
          </w:p>
          <w:p w14:paraId="266D9F1D">
            <w:pPr>
              <w:jc w:val="left"/>
              <w:rPr>
                <w:rFonts w:eastAsia="仿宋"/>
                <w:color w:val="000000" w:themeColor="text1"/>
                <w:sz w:val="18"/>
                <w:szCs w:val="18"/>
                <w14:textFill>
                  <w14:solidFill>
                    <w14:schemeClr w14:val="tx1"/>
                  </w14:solidFill>
                </w14:textFill>
              </w:rPr>
            </w:pPr>
          </w:p>
        </w:tc>
        <w:tc>
          <w:tcPr>
            <w:tcW w:w="923" w:type="dxa"/>
            <w:vAlign w:val="center"/>
          </w:tcPr>
          <w:p w14:paraId="567DED35">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31</w:t>
            </w:r>
          </w:p>
        </w:tc>
        <w:tc>
          <w:tcPr>
            <w:tcW w:w="921" w:type="dxa"/>
            <w:vAlign w:val="center"/>
          </w:tcPr>
          <w:p w14:paraId="3801FAA6">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31DF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exact"/>
          <w:jc w:val="center"/>
        </w:trPr>
        <w:tc>
          <w:tcPr>
            <w:tcW w:w="638" w:type="dxa"/>
            <w:vAlign w:val="center"/>
          </w:tcPr>
          <w:p w14:paraId="2F4E2C11">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3</w:t>
            </w:r>
          </w:p>
        </w:tc>
        <w:tc>
          <w:tcPr>
            <w:tcW w:w="3321" w:type="dxa"/>
            <w:vAlign w:val="center"/>
          </w:tcPr>
          <w:p w14:paraId="3D6937A6">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论文名称：Sirt3 is a novel target to treat sepsis induced myocardial dysfunction by acetylated modulation of critical enzymes within cardiac tricarboxylic acid cycle</w:t>
            </w:r>
          </w:p>
          <w:p w14:paraId="64FD4DDB">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刊名：Pharmacological Research</w:t>
            </w:r>
          </w:p>
        </w:tc>
        <w:tc>
          <w:tcPr>
            <w:tcW w:w="1985" w:type="dxa"/>
            <w:vAlign w:val="center"/>
          </w:tcPr>
          <w:p w14:paraId="075C6BFE">
            <w:pPr>
              <w:spacing w:after="0" w:line="360" w:lineRule="auto"/>
              <w:contextualSpacing/>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 xml:space="preserve">2020; 159:104887. </w:t>
            </w:r>
          </w:p>
          <w:p w14:paraId="64A0C7E9">
            <w:pPr>
              <w:spacing w:after="0" w:line="240" w:lineRule="auto"/>
              <w:jc w:val="left"/>
              <w:rPr>
                <w:rFonts w:eastAsia="仿宋"/>
                <w:color w:val="000000" w:themeColor="text1"/>
                <w:sz w:val="18"/>
                <w:szCs w:val="18"/>
                <w14:textFill>
                  <w14:solidFill>
                    <w14:schemeClr w14:val="tx1"/>
                  </w14:solidFill>
                </w14:textFill>
              </w:rPr>
            </w:pPr>
          </w:p>
        </w:tc>
        <w:tc>
          <w:tcPr>
            <w:tcW w:w="1276" w:type="dxa"/>
            <w:vAlign w:val="center"/>
          </w:tcPr>
          <w:p w14:paraId="0722316E">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2020.09</w:t>
            </w:r>
          </w:p>
        </w:tc>
        <w:tc>
          <w:tcPr>
            <w:tcW w:w="1275" w:type="dxa"/>
            <w:vAlign w:val="center"/>
          </w:tcPr>
          <w:p w14:paraId="45CEFF22">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Yi Wang, Zhaocai Zhang</w:t>
            </w:r>
          </w:p>
        </w:tc>
        <w:tc>
          <w:tcPr>
            <w:tcW w:w="1276" w:type="dxa"/>
            <w:vAlign w:val="center"/>
          </w:tcPr>
          <w:p w14:paraId="311EA1B4">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Yinchuan Xu</w:t>
            </w:r>
          </w:p>
        </w:tc>
        <w:tc>
          <w:tcPr>
            <w:tcW w:w="2529" w:type="dxa"/>
            <w:vAlign w:val="center"/>
          </w:tcPr>
          <w:p w14:paraId="43905503">
            <w:pPr>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Yinchuan Xu, Shujing Zhang, Jiabing Rong, Yao Lin, Linlin Du, Yi Wang, Zhaocai Zhang</w:t>
            </w:r>
          </w:p>
          <w:p w14:paraId="7F2E54DF">
            <w:pPr>
              <w:spacing w:after="0" w:line="240" w:lineRule="auto"/>
              <w:jc w:val="left"/>
              <w:rPr>
                <w:rFonts w:eastAsia="仿宋"/>
                <w:color w:val="000000" w:themeColor="text1"/>
                <w:sz w:val="18"/>
                <w:szCs w:val="18"/>
                <w14:textFill>
                  <w14:solidFill>
                    <w14:schemeClr w14:val="tx1"/>
                  </w14:solidFill>
                </w14:textFill>
              </w:rPr>
            </w:pPr>
          </w:p>
        </w:tc>
        <w:tc>
          <w:tcPr>
            <w:tcW w:w="923" w:type="dxa"/>
            <w:vAlign w:val="center"/>
          </w:tcPr>
          <w:p w14:paraId="2F7AF117">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35</w:t>
            </w:r>
          </w:p>
        </w:tc>
        <w:tc>
          <w:tcPr>
            <w:tcW w:w="921" w:type="dxa"/>
            <w:vAlign w:val="center"/>
          </w:tcPr>
          <w:p w14:paraId="1A7FBF6C">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7A89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38" w:type="dxa"/>
            <w:vAlign w:val="center"/>
          </w:tcPr>
          <w:p w14:paraId="5F3FB4BE">
            <w:pPr>
              <w:spacing w:after="0" w:line="240" w:lineRule="auto"/>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4</w:t>
            </w:r>
          </w:p>
        </w:tc>
        <w:tc>
          <w:tcPr>
            <w:tcW w:w="3321" w:type="dxa"/>
            <w:vAlign w:val="center"/>
          </w:tcPr>
          <w:p w14:paraId="61D4C301">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论文名称：Multi-biomarker strategy for prediction of myocardial dysfunction and mortality in sepsis</w:t>
            </w:r>
          </w:p>
          <w:p w14:paraId="2A05C3D4">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刊名：Journal of Zhejiang University-science b.</w:t>
            </w:r>
          </w:p>
        </w:tc>
        <w:tc>
          <w:tcPr>
            <w:tcW w:w="1985" w:type="dxa"/>
            <w:vAlign w:val="center"/>
          </w:tcPr>
          <w:p w14:paraId="3A365796">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2020; 21(7):537-548.</w:t>
            </w:r>
          </w:p>
        </w:tc>
        <w:tc>
          <w:tcPr>
            <w:tcW w:w="1276" w:type="dxa"/>
            <w:vAlign w:val="center"/>
          </w:tcPr>
          <w:p w14:paraId="51CAD87A">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2020.07</w:t>
            </w:r>
          </w:p>
        </w:tc>
        <w:tc>
          <w:tcPr>
            <w:tcW w:w="1275" w:type="dxa"/>
            <w:vAlign w:val="center"/>
          </w:tcPr>
          <w:p w14:paraId="6DDFA8FE">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Yinchuan Xu, Zhaocai Zhang</w:t>
            </w:r>
          </w:p>
        </w:tc>
        <w:tc>
          <w:tcPr>
            <w:tcW w:w="1276" w:type="dxa"/>
            <w:vAlign w:val="center"/>
          </w:tcPr>
          <w:p w14:paraId="38630EF6">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Fachao Chen</w:t>
            </w:r>
          </w:p>
        </w:tc>
        <w:tc>
          <w:tcPr>
            <w:tcW w:w="2529" w:type="dxa"/>
            <w:vAlign w:val="center"/>
          </w:tcPr>
          <w:p w14:paraId="4B41C26B">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Fachao Chen, Yinchuan Xu, Zhaocai Zhang</w:t>
            </w:r>
          </w:p>
        </w:tc>
        <w:tc>
          <w:tcPr>
            <w:tcW w:w="923" w:type="dxa"/>
            <w:vAlign w:val="center"/>
          </w:tcPr>
          <w:p w14:paraId="34CC4E8D">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16</w:t>
            </w:r>
          </w:p>
        </w:tc>
        <w:tc>
          <w:tcPr>
            <w:tcW w:w="921" w:type="dxa"/>
            <w:vAlign w:val="center"/>
          </w:tcPr>
          <w:p w14:paraId="1CEE3C3C">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75C0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exact"/>
          <w:jc w:val="center"/>
        </w:trPr>
        <w:tc>
          <w:tcPr>
            <w:tcW w:w="638" w:type="dxa"/>
            <w:vAlign w:val="center"/>
          </w:tcPr>
          <w:p w14:paraId="094404D6">
            <w:pPr>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5</w:t>
            </w:r>
          </w:p>
        </w:tc>
        <w:tc>
          <w:tcPr>
            <w:tcW w:w="3321" w:type="dxa"/>
            <w:vAlign w:val="center"/>
          </w:tcPr>
          <w:p w14:paraId="117A389F">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论文名称：Elevated pregnancy-associated plasma protein A predicts myocardial dysfunction and death in severe sepsis</w:t>
            </w:r>
            <w:r>
              <w:rPr>
                <w:rFonts w:eastAsia="仿宋"/>
                <w:color w:val="000000" w:themeColor="text1"/>
                <w:sz w:val="18"/>
                <w:szCs w:val="18"/>
                <w14:textFill>
                  <w14:solidFill>
                    <w14:schemeClr w14:val="tx1"/>
                  </w14:solidFill>
                </w14:textFill>
              </w:rPr>
              <w:br w:type="textWrapping"/>
            </w:r>
            <w:r>
              <w:rPr>
                <w:rFonts w:eastAsia="仿宋"/>
                <w:color w:val="000000" w:themeColor="text1"/>
                <w:sz w:val="18"/>
                <w:szCs w:val="18"/>
                <w14:textFill>
                  <w14:solidFill>
                    <w14:schemeClr w14:val="tx1"/>
                  </w14:solidFill>
                </w14:textFill>
              </w:rPr>
              <w:t>刊名：Annals of Clinical Biochemistry.</w:t>
            </w:r>
          </w:p>
        </w:tc>
        <w:tc>
          <w:tcPr>
            <w:tcW w:w="1985" w:type="dxa"/>
            <w:vAlign w:val="center"/>
          </w:tcPr>
          <w:p w14:paraId="692E3441">
            <w:pPr>
              <w:spacing w:after="0" w:line="360" w:lineRule="auto"/>
              <w:contextualSpacing/>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2014; 51(Pt 1):22-9.</w:t>
            </w:r>
          </w:p>
          <w:p w14:paraId="18DAEC0E">
            <w:pPr>
              <w:rPr>
                <w:rFonts w:eastAsia="仿宋"/>
                <w:color w:val="000000" w:themeColor="text1"/>
                <w:sz w:val="18"/>
                <w:szCs w:val="18"/>
                <w14:textFill>
                  <w14:solidFill>
                    <w14:schemeClr w14:val="tx1"/>
                  </w14:solidFill>
                </w14:textFill>
              </w:rPr>
            </w:pPr>
          </w:p>
        </w:tc>
        <w:tc>
          <w:tcPr>
            <w:tcW w:w="1276" w:type="dxa"/>
            <w:vAlign w:val="center"/>
          </w:tcPr>
          <w:p w14:paraId="219E82B8">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2014.01</w:t>
            </w:r>
          </w:p>
        </w:tc>
        <w:tc>
          <w:tcPr>
            <w:tcW w:w="1275" w:type="dxa"/>
            <w:vAlign w:val="center"/>
          </w:tcPr>
          <w:p w14:paraId="59099812">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w:t>
            </w:r>
          </w:p>
        </w:tc>
        <w:tc>
          <w:tcPr>
            <w:tcW w:w="1276" w:type="dxa"/>
            <w:vAlign w:val="center"/>
          </w:tcPr>
          <w:p w14:paraId="601BD277">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w:t>
            </w:r>
          </w:p>
        </w:tc>
        <w:tc>
          <w:tcPr>
            <w:tcW w:w="2529" w:type="dxa"/>
            <w:vAlign w:val="center"/>
          </w:tcPr>
          <w:p w14:paraId="2665F699">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 Haiwen Dai, Yihua Yu, Jidong Yang, Jin Chen, Liang Wu</w:t>
            </w:r>
          </w:p>
        </w:tc>
        <w:tc>
          <w:tcPr>
            <w:tcW w:w="923" w:type="dxa"/>
            <w:vAlign w:val="center"/>
          </w:tcPr>
          <w:p w14:paraId="30B21D7B">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10</w:t>
            </w:r>
          </w:p>
        </w:tc>
        <w:tc>
          <w:tcPr>
            <w:tcW w:w="921" w:type="dxa"/>
            <w:vAlign w:val="center"/>
          </w:tcPr>
          <w:p w14:paraId="3C21BF9E">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3644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exact"/>
          <w:jc w:val="center"/>
        </w:trPr>
        <w:tc>
          <w:tcPr>
            <w:tcW w:w="638" w:type="dxa"/>
            <w:vAlign w:val="center"/>
          </w:tcPr>
          <w:p w14:paraId="014F2138">
            <w:pPr>
              <w:spacing w:after="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6</w:t>
            </w:r>
          </w:p>
        </w:tc>
        <w:tc>
          <w:tcPr>
            <w:tcW w:w="3321" w:type="dxa"/>
            <w:vAlign w:val="center"/>
          </w:tcPr>
          <w:p w14:paraId="3776B1AF">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论文名称：Usefulness of heart-type fatty acid-binding protein in patients with severe sepsis</w:t>
            </w:r>
          </w:p>
          <w:p w14:paraId="53BA22E8">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刊名：Journal of Critical Care</w:t>
            </w:r>
          </w:p>
        </w:tc>
        <w:tc>
          <w:tcPr>
            <w:tcW w:w="1985" w:type="dxa"/>
            <w:vAlign w:val="center"/>
          </w:tcPr>
          <w:p w14:paraId="7D44F0B3">
            <w:pPr>
              <w:spacing w:after="0" w:line="360" w:lineRule="auto"/>
              <w:contextualSpacing/>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2012; 27(4): 415.e13-8.</w:t>
            </w:r>
          </w:p>
          <w:p w14:paraId="26D9F5A7">
            <w:pPr>
              <w:spacing w:after="0"/>
              <w:rPr>
                <w:rFonts w:eastAsia="仿宋"/>
                <w:color w:val="000000" w:themeColor="text1"/>
                <w:sz w:val="18"/>
                <w:szCs w:val="18"/>
                <w14:textFill>
                  <w14:solidFill>
                    <w14:schemeClr w14:val="tx1"/>
                  </w14:solidFill>
                </w14:textFill>
              </w:rPr>
            </w:pPr>
          </w:p>
        </w:tc>
        <w:tc>
          <w:tcPr>
            <w:tcW w:w="1276" w:type="dxa"/>
            <w:vAlign w:val="center"/>
          </w:tcPr>
          <w:p w14:paraId="12B1BEAB">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2012.08</w:t>
            </w:r>
          </w:p>
        </w:tc>
        <w:tc>
          <w:tcPr>
            <w:tcW w:w="1275" w:type="dxa"/>
            <w:vAlign w:val="center"/>
          </w:tcPr>
          <w:p w14:paraId="47EC6609">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w:t>
            </w:r>
          </w:p>
        </w:tc>
        <w:tc>
          <w:tcPr>
            <w:tcW w:w="1276" w:type="dxa"/>
            <w:vAlign w:val="center"/>
          </w:tcPr>
          <w:p w14:paraId="53133EC9">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w:t>
            </w:r>
          </w:p>
        </w:tc>
        <w:tc>
          <w:tcPr>
            <w:tcW w:w="2529" w:type="dxa"/>
            <w:vAlign w:val="center"/>
          </w:tcPr>
          <w:p w14:paraId="245C84DB">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 Haiwen Dai, Yihua Yu, Jidong Yang, Caibao Hu</w:t>
            </w:r>
          </w:p>
        </w:tc>
        <w:tc>
          <w:tcPr>
            <w:tcW w:w="923" w:type="dxa"/>
            <w:vAlign w:val="center"/>
          </w:tcPr>
          <w:p w14:paraId="0C618540">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28</w:t>
            </w:r>
          </w:p>
        </w:tc>
        <w:tc>
          <w:tcPr>
            <w:tcW w:w="921" w:type="dxa"/>
            <w:vAlign w:val="center"/>
          </w:tcPr>
          <w:p w14:paraId="1441AADD">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0316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1" w:hRule="exact"/>
          <w:jc w:val="center"/>
        </w:trPr>
        <w:tc>
          <w:tcPr>
            <w:tcW w:w="638" w:type="dxa"/>
            <w:vAlign w:val="center"/>
          </w:tcPr>
          <w:p w14:paraId="02A5B1D5">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7</w:t>
            </w:r>
          </w:p>
        </w:tc>
        <w:tc>
          <w:tcPr>
            <w:tcW w:w="3321" w:type="dxa"/>
            <w:vAlign w:val="center"/>
          </w:tcPr>
          <w:p w14:paraId="29A3DF32">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论文名称：Nanoformulated ABT-199 to effectively target Bcl-2 at mitochondrial membrane alleviates airway inflammation by inducing apoptosis</w:t>
            </w:r>
            <w:r>
              <w:rPr>
                <w:rFonts w:eastAsia="仿宋"/>
                <w:color w:val="000000" w:themeColor="text1"/>
                <w:sz w:val="18"/>
                <w:szCs w:val="18"/>
                <w14:textFill>
                  <w14:solidFill>
                    <w14:schemeClr w14:val="tx1"/>
                  </w14:solidFill>
                </w14:textFill>
              </w:rPr>
              <w:br w:type="textWrapping"/>
            </w:r>
            <w:r>
              <w:rPr>
                <w:rFonts w:eastAsia="仿宋"/>
                <w:color w:val="000000" w:themeColor="text1"/>
                <w:sz w:val="18"/>
                <w:szCs w:val="18"/>
                <w14:textFill>
                  <w14:solidFill>
                    <w14:schemeClr w14:val="tx1"/>
                  </w14:solidFill>
                </w14:textFill>
              </w:rPr>
              <w:t>刊名：Biomaterials</w:t>
            </w:r>
          </w:p>
        </w:tc>
        <w:tc>
          <w:tcPr>
            <w:tcW w:w="1985" w:type="dxa"/>
            <w:vAlign w:val="center"/>
          </w:tcPr>
          <w:p w14:paraId="181522C0">
            <w:pPr>
              <w:spacing w:after="0" w:line="360" w:lineRule="auto"/>
              <w:contextualSpacing/>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2019; 192:429-439.</w:t>
            </w:r>
          </w:p>
          <w:p w14:paraId="0EB63818">
            <w:pPr>
              <w:spacing w:after="0"/>
              <w:jc w:val="left"/>
              <w:rPr>
                <w:rFonts w:eastAsia="仿宋"/>
                <w:color w:val="000000" w:themeColor="text1"/>
                <w:sz w:val="18"/>
                <w:szCs w:val="18"/>
                <w14:textFill>
                  <w14:solidFill>
                    <w14:schemeClr w14:val="tx1"/>
                  </w14:solidFill>
                </w14:textFill>
              </w:rPr>
            </w:pPr>
          </w:p>
        </w:tc>
        <w:tc>
          <w:tcPr>
            <w:tcW w:w="1276" w:type="dxa"/>
            <w:vAlign w:val="center"/>
          </w:tcPr>
          <w:p w14:paraId="7F929A4D">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2019.02</w:t>
            </w:r>
          </w:p>
        </w:tc>
        <w:tc>
          <w:tcPr>
            <w:tcW w:w="1275" w:type="dxa"/>
            <w:vAlign w:val="center"/>
          </w:tcPr>
          <w:p w14:paraId="363674E8">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Songmin Ying, Daishun Ling, Huahao Shen</w:t>
            </w:r>
          </w:p>
        </w:tc>
        <w:tc>
          <w:tcPr>
            <w:tcW w:w="1276" w:type="dxa"/>
            <w:vAlign w:val="center"/>
          </w:tcPr>
          <w:p w14:paraId="622FC8B6">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Bao-Ping Tian, Fangyuan Li, Ruiqing Li</w:t>
            </w:r>
          </w:p>
        </w:tc>
        <w:tc>
          <w:tcPr>
            <w:tcW w:w="2529" w:type="dxa"/>
            <w:vAlign w:val="center"/>
          </w:tcPr>
          <w:p w14:paraId="5E33E58D">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Bao-Ping Tian, Fangyuan Li, Ruiqing Li, Xi Hu, Tian-Wen Lai, Jingxiong Lu, Yun Zhao, Yang Du, Zeyu Liang, Chen Zhu, Wei Shao, Wen Li, Zhi-Hua Chen, Xiaolian Sun, Xiaoyuan Chen, Songmin Ying, Daishun Ling, Huahao Shen</w:t>
            </w:r>
          </w:p>
        </w:tc>
        <w:tc>
          <w:tcPr>
            <w:tcW w:w="923" w:type="dxa"/>
            <w:vAlign w:val="center"/>
          </w:tcPr>
          <w:p w14:paraId="07FA4099">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26</w:t>
            </w:r>
          </w:p>
        </w:tc>
        <w:tc>
          <w:tcPr>
            <w:tcW w:w="921" w:type="dxa"/>
            <w:vAlign w:val="center"/>
          </w:tcPr>
          <w:p w14:paraId="268CD00D">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362E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exact"/>
          <w:jc w:val="center"/>
        </w:trPr>
        <w:tc>
          <w:tcPr>
            <w:tcW w:w="638" w:type="dxa"/>
            <w:vAlign w:val="center"/>
          </w:tcPr>
          <w:p w14:paraId="095A6F79">
            <w:pPr>
              <w:spacing w:after="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8</w:t>
            </w:r>
          </w:p>
        </w:tc>
        <w:tc>
          <w:tcPr>
            <w:tcW w:w="3321" w:type="dxa"/>
            <w:vAlign w:val="center"/>
          </w:tcPr>
          <w:p w14:paraId="3AD02759">
            <w:pPr>
              <w:spacing w:after="0" w:line="36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论文名称：脓毒症大鼠心脏基质金属蛋白酶及其抑制物基因的表达变化</w:t>
            </w:r>
            <w:r>
              <w:rPr>
                <w:rFonts w:eastAsia="仿宋"/>
                <w:color w:val="000000" w:themeColor="text1"/>
                <w:sz w:val="18"/>
                <w:szCs w:val="18"/>
                <w14:textFill>
                  <w14:solidFill>
                    <w14:schemeClr w14:val="tx1"/>
                  </w14:solidFill>
                </w14:textFill>
              </w:rPr>
              <w:br w:type="textWrapping"/>
            </w:r>
            <w:r>
              <w:rPr>
                <w:rFonts w:eastAsia="仿宋"/>
                <w:color w:val="000000" w:themeColor="text1"/>
                <w:sz w:val="18"/>
                <w:szCs w:val="18"/>
                <w14:textFill>
                  <w14:solidFill>
                    <w14:schemeClr w14:val="tx1"/>
                  </w14:solidFill>
                </w14:textFill>
              </w:rPr>
              <w:t>刊名：</w:t>
            </w:r>
            <w:bookmarkStart w:id="1" w:name="OLE_LINK3"/>
            <w:r>
              <w:rPr>
                <w:rFonts w:eastAsia="仿宋"/>
                <w:color w:val="000000" w:themeColor="text1"/>
                <w:sz w:val="18"/>
                <w:szCs w:val="18"/>
                <w14:textFill>
                  <w14:solidFill>
                    <w14:schemeClr w14:val="tx1"/>
                  </w14:solidFill>
                </w14:textFill>
              </w:rPr>
              <w:t>中国病理生理杂志</w:t>
            </w:r>
            <w:bookmarkEnd w:id="1"/>
          </w:p>
          <w:p w14:paraId="6D733ADD">
            <w:pPr>
              <w:spacing w:after="0"/>
              <w:rPr>
                <w:rFonts w:eastAsia="仿宋"/>
                <w:color w:val="000000" w:themeColor="text1"/>
                <w:sz w:val="18"/>
                <w:szCs w:val="18"/>
                <w14:textFill>
                  <w14:solidFill>
                    <w14:schemeClr w14:val="tx1"/>
                  </w14:solidFill>
                </w14:textFill>
              </w:rPr>
            </w:pPr>
          </w:p>
        </w:tc>
        <w:tc>
          <w:tcPr>
            <w:tcW w:w="1985" w:type="dxa"/>
            <w:vAlign w:val="center"/>
          </w:tcPr>
          <w:p w14:paraId="03F01CC4">
            <w:pPr>
              <w:spacing w:after="0" w:line="360" w:lineRule="auto"/>
              <w:contextualSpacing/>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2008, 24 (8):1641-1643.</w:t>
            </w:r>
          </w:p>
          <w:p w14:paraId="78A6332C">
            <w:pPr>
              <w:spacing w:after="0"/>
              <w:rPr>
                <w:rFonts w:eastAsia="仿宋"/>
                <w:color w:val="000000" w:themeColor="text1"/>
                <w:sz w:val="18"/>
                <w:szCs w:val="18"/>
                <w14:textFill>
                  <w14:solidFill>
                    <w14:schemeClr w14:val="tx1"/>
                  </w14:solidFill>
                </w14:textFill>
              </w:rPr>
            </w:pPr>
          </w:p>
        </w:tc>
        <w:tc>
          <w:tcPr>
            <w:tcW w:w="1276" w:type="dxa"/>
            <w:vAlign w:val="center"/>
          </w:tcPr>
          <w:p w14:paraId="1B061C7E">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2008.08</w:t>
            </w:r>
          </w:p>
        </w:tc>
        <w:tc>
          <w:tcPr>
            <w:tcW w:w="1275" w:type="dxa"/>
            <w:vAlign w:val="center"/>
          </w:tcPr>
          <w:p w14:paraId="547FCAD7">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张召才</w:t>
            </w:r>
          </w:p>
        </w:tc>
        <w:tc>
          <w:tcPr>
            <w:tcW w:w="1276" w:type="dxa"/>
            <w:vAlign w:val="center"/>
          </w:tcPr>
          <w:p w14:paraId="4595755E">
            <w:pPr>
              <w:spacing w:after="0"/>
              <w:rPr>
                <w:rFonts w:eastAsia="仿宋"/>
                <w:color w:val="000000" w:themeColor="text1"/>
                <w:sz w:val="18"/>
                <w:szCs w:val="18"/>
                <w14:textFill>
                  <w14:solidFill>
                    <w14:schemeClr w14:val="tx1"/>
                  </w14:solidFill>
                </w14:textFill>
              </w:rPr>
            </w:pPr>
            <w:r>
              <w:fldChar w:fldCharType="begin"/>
            </w:r>
            <w:r>
              <w:instrText xml:space="preserve"> HYPERLINK "https://lib.cqvip.com/Qikan/Search/Index?key=A%3d%e5%bc%a0%e5%8f%ac%e6%89%8d&amp;from=Qikan_Article_Detail" \o "张召才" </w:instrText>
            </w:r>
            <w:r>
              <w:fldChar w:fldCharType="separate"/>
            </w:r>
            <w:r>
              <w:rPr>
                <w:rStyle w:val="22"/>
                <w:rFonts w:eastAsia="仿宋"/>
                <w:color w:val="000000" w:themeColor="text1"/>
                <w:sz w:val="18"/>
                <w:szCs w:val="18"/>
                <w:u w:val="none"/>
                <w14:textFill>
                  <w14:solidFill>
                    <w14:schemeClr w14:val="tx1"/>
                  </w14:solidFill>
                </w14:textFill>
              </w:rPr>
              <w:t>张召才</w:t>
            </w:r>
            <w:r>
              <w:rPr>
                <w:rStyle w:val="22"/>
                <w:rFonts w:eastAsia="仿宋"/>
                <w:color w:val="000000" w:themeColor="text1"/>
                <w:sz w:val="18"/>
                <w:szCs w:val="18"/>
                <w:u w:val="none"/>
                <w14:textFill>
                  <w14:solidFill>
                    <w14:schemeClr w14:val="tx1"/>
                  </w14:solidFill>
                </w14:textFill>
              </w:rPr>
              <w:fldChar w:fldCharType="end"/>
            </w:r>
          </w:p>
        </w:tc>
        <w:tc>
          <w:tcPr>
            <w:tcW w:w="2529" w:type="dxa"/>
            <w:vAlign w:val="center"/>
          </w:tcPr>
          <w:p w14:paraId="546AAE48">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张召才，严静，蔡国龙，虞意华，胡才宝</w:t>
            </w:r>
          </w:p>
          <w:p w14:paraId="11C47A22">
            <w:pPr>
              <w:spacing w:after="0"/>
              <w:rPr>
                <w:rFonts w:eastAsia="仿宋"/>
                <w:color w:val="000000" w:themeColor="text1"/>
                <w:sz w:val="18"/>
                <w:szCs w:val="18"/>
                <w14:textFill>
                  <w14:solidFill>
                    <w14:schemeClr w14:val="tx1"/>
                  </w14:solidFill>
                </w14:textFill>
              </w:rPr>
            </w:pPr>
          </w:p>
        </w:tc>
        <w:tc>
          <w:tcPr>
            <w:tcW w:w="923" w:type="dxa"/>
            <w:vAlign w:val="center"/>
          </w:tcPr>
          <w:p w14:paraId="398E1BCE">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w:t>
            </w:r>
          </w:p>
        </w:tc>
        <w:tc>
          <w:tcPr>
            <w:tcW w:w="921" w:type="dxa"/>
            <w:vAlign w:val="center"/>
          </w:tcPr>
          <w:p w14:paraId="1BCD832F">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w:t>
            </w:r>
          </w:p>
        </w:tc>
      </w:tr>
      <w:tr w14:paraId="6125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vAlign w:val="center"/>
          </w:tcPr>
          <w:p w14:paraId="29F0FB45">
            <w:pPr>
              <w:jc w:val="center"/>
              <w:rPr>
                <w:rFonts w:eastAsia="仿宋"/>
                <w:color w:val="000000" w:themeColor="text1"/>
                <w:sz w:val="18"/>
                <w:szCs w:val="18"/>
                <w14:textFill>
                  <w14:solidFill>
                    <w14:schemeClr w14:val="tx1"/>
                  </w14:solidFill>
                </w14:textFill>
              </w:rPr>
            </w:pPr>
          </w:p>
        </w:tc>
        <w:tc>
          <w:tcPr>
            <w:tcW w:w="11662" w:type="dxa"/>
            <w:gridSpan w:val="6"/>
            <w:vAlign w:val="center"/>
          </w:tcPr>
          <w:p w14:paraId="1CE43DD1">
            <w:pPr>
              <w:jc w:val="righ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合计</w:t>
            </w:r>
          </w:p>
        </w:tc>
        <w:tc>
          <w:tcPr>
            <w:tcW w:w="923" w:type="dxa"/>
            <w:vAlign w:val="center"/>
          </w:tcPr>
          <w:p w14:paraId="7B2433CB">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159</w:t>
            </w:r>
          </w:p>
        </w:tc>
        <w:tc>
          <w:tcPr>
            <w:tcW w:w="921" w:type="dxa"/>
            <w:vAlign w:val="center"/>
          </w:tcPr>
          <w:p w14:paraId="36E3EDC7">
            <w:pPr>
              <w:rPr>
                <w:rFonts w:eastAsia="仿宋"/>
                <w:color w:val="000000" w:themeColor="text1"/>
                <w:sz w:val="18"/>
                <w:szCs w:val="18"/>
                <w14:textFill>
                  <w14:solidFill>
                    <w14:schemeClr w14:val="tx1"/>
                  </w14:solidFill>
                </w14:textFill>
              </w:rPr>
            </w:pPr>
          </w:p>
        </w:tc>
      </w:tr>
    </w:tbl>
    <w:p w14:paraId="22818F8C">
      <w:pPr>
        <w:rPr>
          <w:rFonts w:eastAsia="仿宋"/>
          <w:color w:val="000000" w:themeColor="text1"/>
          <w14:textFill>
            <w14:solidFill>
              <w14:schemeClr w14:val="tx1"/>
            </w14:solidFill>
          </w14:textFill>
        </w:rPr>
      </w:pP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4551482-007D-4C73-9507-0C17AC3B15CB}"/>
  </w:font>
  <w:font w:name="Arial">
    <w:panose1 w:val="020B0604020202020204"/>
    <w:charset w:val="01"/>
    <w:family w:val="swiss"/>
    <w:pitch w:val="default"/>
    <w:sig w:usb0="E0002EFF" w:usb1="C000785B" w:usb2="00000009" w:usb3="00000000" w:csb0="400001FF" w:csb1="FFFF0000"/>
    <w:embedRegular r:id="rId2" w:fontKey="{33C07862-904A-4B82-8A2E-227AA5CD409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C664819-EF39-45ED-8580-141C900E2F42}"/>
  </w:font>
  <w:font w:name="Symbol">
    <w:panose1 w:val="05050102010706020507"/>
    <w:charset w:val="02"/>
    <w:family w:val="roman"/>
    <w:pitch w:val="default"/>
    <w:sig w:usb0="00000000" w:usb1="00000000" w:usb2="00000000" w:usb3="00000000" w:csb0="80000000" w:csb1="00000000"/>
    <w:embedRegular r:id="rId4" w:fontKey="{32760924-BF97-4775-BFC6-C1DE47127594}"/>
  </w:font>
  <w:font w:name="Calibri">
    <w:panose1 w:val="020F0502020204030204"/>
    <w:charset w:val="00"/>
    <w:family w:val="swiss"/>
    <w:pitch w:val="default"/>
    <w:sig w:usb0="E4002EFF" w:usb1="C000247B" w:usb2="00000009" w:usb3="00000000" w:csb0="200001FF" w:csb1="00000000"/>
    <w:embedRegular r:id="rId5" w:fontKey="{636BC927-1B93-49A7-BE79-DBA0783B4530}"/>
  </w:font>
  <w:font w:name="Cambria">
    <w:panose1 w:val="02040503050406030204"/>
    <w:charset w:val="00"/>
    <w:family w:val="roman"/>
    <w:pitch w:val="default"/>
    <w:sig w:usb0="E00006FF" w:usb1="420024FF" w:usb2="02000000" w:usb3="00000000" w:csb0="2000019F" w:csb1="00000000"/>
    <w:embedRegular r:id="rId6" w:fontKey="{8CFDC607-2729-47D9-A1F3-42FAD20F68FF}"/>
  </w:font>
  <w:font w:name="仿宋_GB2312">
    <w:panose1 w:val="02010609030101010101"/>
    <w:charset w:val="86"/>
    <w:family w:val="modern"/>
    <w:pitch w:val="default"/>
    <w:sig w:usb0="00000001" w:usb1="080E0000" w:usb2="00000000" w:usb3="00000000" w:csb0="00040000" w:csb1="00000000"/>
  </w:font>
  <w:font w:name="方正仿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embedRegular r:id="rId7" w:fontKey="{50F44125-B5DC-4367-8365-CAD9470213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5B22BDE4">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CEF13">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AFD8">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A2905">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0F4DE">
    <w:pPr>
      <w:pStyle w:val="10"/>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529B"/>
    <w:rsid w:val="00006056"/>
    <w:rsid w:val="00007BBE"/>
    <w:rsid w:val="0001064C"/>
    <w:rsid w:val="000165DC"/>
    <w:rsid w:val="00020739"/>
    <w:rsid w:val="00031E44"/>
    <w:rsid w:val="00033288"/>
    <w:rsid w:val="0004004D"/>
    <w:rsid w:val="00051BE3"/>
    <w:rsid w:val="00053F24"/>
    <w:rsid w:val="0006546D"/>
    <w:rsid w:val="00067E32"/>
    <w:rsid w:val="00083906"/>
    <w:rsid w:val="000847FC"/>
    <w:rsid w:val="000929AE"/>
    <w:rsid w:val="000A0FE4"/>
    <w:rsid w:val="000B2E39"/>
    <w:rsid w:val="000B70B3"/>
    <w:rsid w:val="000C5D6B"/>
    <w:rsid w:val="000C632A"/>
    <w:rsid w:val="000E7370"/>
    <w:rsid w:val="000F1229"/>
    <w:rsid w:val="000F2CC3"/>
    <w:rsid w:val="000F6066"/>
    <w:rsid w:val="000F6517"/>
    <w:rsid w:val="000F68D1"/>
    <w:rsid w:val="000F6B39"/>
    <w:rsid w:val="000F7732"/>
    <w:rsid w:val="001039E9"/>
    <w:rsid w:val="00104F03"/>
    <w:rsid w:val="001168E4"/>
    <w:rsid w:val="0012430D"/>
    <w:rsid w:val="001435CC"/>
    <w:rsid w:val="00153E23"/>
    <w:rsid w:val="00154376"/>
    <w:rsid w:val="001553CE"/>
    <w:rsid w:val="001614FC"/>
    <w:rsid w:val="0016168D"/>
    <w:rsid w:val="00165962"/>
    <w:rsid w:val="0017168F"/>
    <w:rsid w:val="00172167"/>
    <w:rsid w:val="001806B8"/>
    <w:rsid w:val="001829B2"/>
    <w:rsid w:val="00185449"/>
    <w:rsid w:val="00185BA7"/>
    <w:rsid w:val="00192701"/>
    <w:rsid w:val="0019371C"/>
    <w:rsid w:val="001A5554"/>
    <w:rsid w:val="001A55E6"/>
    <w:rsid w:val="001B0C22"/>
    <w:rsid w:val="001B454D"/>
    <w:rsid w:val="001B46F5"/>
    <w:rsid w:val="001C4D6D"/>
    <w:rsid w:val="001D3908"/>
    <w:rsid w:val="001F032B"/>
    <w:rsid w:val="001F2C76"/>
    <w:rsid w:val="001F7F40"/>
    <w:rsid w:val="0021154E"/>
    <w:rsid w:val="00212129"/>
    <w:rsid w:val="00213CE9"/>
    <w:rsid w:val="0021734C"/>
    <w:rsid w:val="002242B0"/>
    <w:rsid w:val="002247F4"/>
    <w:rsid w:val="00230FE9"/>
    <w:rsid w:val="0023223F"/>
    <w:rsid w:val="00244749"/>
    <w:rsid w:val="00247A49"/>
    <w:rsid w:val="00251808"/>
    <w:rsid w:val="002579D1"/>
    <w:rsid w:val="002745F8"/>
    <w:rsid w:val="00281A25"/>
    <w:rsid w:val="00283031"/>
    <w:rsid w:val="0029509E"/>
    <w:rsid w:val="00296134"/>
    <w:rsid w:val="002A2925"/>
    <w:rsid w:val="002A7955"/>
    <w:rsid w:val="002B3198"/>
    <w:rsid w:val="002B3F03"/>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91EE6"/>
    <w:rsid w:val="003A08CF"/>
    <w:rsid w:val="003A33B6"/>
    <w:rsid w:val="003A343A"/>
    <w:rsid w:val="003A466E"/>
    <w:rsid w:val="003A5D0E"/>
    <w:rsid w:val="003A60A7"/>
    <w:rsid w:val="003B0906"/>
    <w:rsid w:val="003B2A50"/>
    <w:rsid w:val="003B3345"/>
    <w:rsid w:val="003C1234"/>
    <w:rsid w:val="003C4124"/>
    <w:rsid w:val="003D4642"/>
    <w:rsid w:val="003E263B"/>
    <w:rsid w:val="003E6BFB"/>
    <w:rsid w:val="003F0278"/>
    <w:rsid w:val="003F1E9D"/>
    <w:rsid w:val="003F76A0"/>
    <w:rsid w:val="00401E30"/>
    <w:rsid w:val="00413666"/>
    <w:rsid w:val="004179C8"/>
    <w:rsid w:val="0042367A"/>
    <w:rsid w:val="00427A6E"/>
    <w:rsid w:val="004300EE"/>
    <w:rsid w:val="0043284D"/>
    <w:rsid w:val="00442705"/>
    <w:rsid w:val="00444A55"/>
    <w:rsid w:val="004459B7"/>
    <w:rsid w:val="0044700B"/>
    <w:rsid w:val="0044760A"/>
    <w:rsid w:val="00447DF3"/>
    <w:rsid w:val="00452C0A"/>
    <w:rsid w:val="00453528"/>
    <w:rsid w:val="00453C0E"/>
    <w:rsid w:val="00461A90"/>
    <w:rsid w:val="004820BD"/>
    <w:rsid w:val="00484A1D"/>
    <w:rsid w:val="00484D69"/>
    <w:rsid w:val="004929AC"/>
    <w:rsid w:val="00492EAC"/>
    <w:rsid w:val="0049432F"/>
    <w:rsid w:val="004A4CF8"/>
    <w:rsid w:val="004A6419"/>
    <w:rsid w:val="004B13A5"/>
    <w:rsid w:val="004B4C33"/>
    <w:rsid w:val="004B531C"/>
    <w:rsid w:val="004C2337"/>
    <w:rsid w:val="004C4399"/>
    <w:rsid w:val="004D3106"/>
    <w:rsid w:val="004D4913"/>
    <w:rsid w:val="004D55B5"/>
    <w:rsid w:val="004E11C6"/>
    <w:rsid w:val="004E36AB"/>
    <w:rsid w:val="004F503B"/>
    <w:rsid w:val="004F551A"/>
    <w:rsid w:val="004F680F"/>
    <w:rsid w:val="005002DF"/>
    <w:rsid w:val="00500EBD"/>
    <w:rsid w:val="00504232"/>
    <w:rsid w:val="00510C66"/>
    <w:rsid w:val="00511F4B"/>
    <w:rsid w:val="0051372C"/>
    <w:rsid w:val="00521ED7"/>
    <w:rsid w:val="00526964"/>
    <w:rsid w:val="00532D5A"/>
    <w:rsid w:val="005354E4"/>
    <w:rsid w:val="00544F66"/>
    <w:rsid w:val="00552729"/>
    <w:rsid w:val="005530D5"/>
    <w:rsid w:val="005563CE"/>
    <w:rsid w:val="005663D6"/>
    <w:rsid w:val="00570701"/>
    <w:rsid w:val="0057414B"/>
    <w:rsid w:val="0057576E"/>
    <w:rsid w:val="0058367D"/>
    <w:rsid w:val="00586D66"/>
    <w:rsid w:val="0059269B"/>
    <w:rsid w:val="00595A36"/>
    <w:rsid w:val="005A0877"/>
    <w:rsid w:val="005A17EC"/>
    <w:rsid w:val="005A1A1D"/>
    <w:rsid w:val="005A485B"/>
    <w:rsid w:val="005A6276"/>
    <w:rsid w:val="005A6B7D"/>
    <w:rsid w:val="005B5550"/>
    <w:rsid w:val="005B5E1E"/>
    <w:rsid w:val="005B65F0"/>
    <w:rsid w:val="005C0A66"/>
    <w:rsid w:val="005D2A14"/>
    <w:rsid w:val="005D36E9"/>
    <w:rsid w:val="005E0059"/>
    <w:rsid w:val="005E261D"/>
    <w:rsid w:val="005E49A6"/>
    <w:rsid w:val="005E6D32"/>
    <w:rsid w:val="005F0DC8"/>
    <w:rsid w:val="005F1A3D"/>
    <w:rsid w:val="00600FA4"/>
    <w:rsid w:val="00605720"/>
    <w:rsid w:val="00611BDC"/>
    <w:rsid w:val="006177DC"/>
    <w:rsid w:val="00623BD2"/>
    <w:rsid w:val="00626265"/>
    <w:rsid w:val="006269F8"/>
    <w:rsid w:val="0063203B"/>
    <w:rsid w:val="00642EBC"/>
    <w:rsid w:val="00643B2E"/>
    <w:rsid w:val="00646AD1"/>
    <w:rsid w:val="006546AC"/>
    <w:rsid w:val="00660E71"/>
    <w:rsid w:val="00670053"/>
    <w:rsid w:val="00673E71"/>
    <w:rsid w:val="006823DB"/>
    <w:rsid w:val="00692309"/>
    <w:rsid w:val="00694DDB"/>
    <w:rsid w:val="006A1E31"/>
    <w:rsid w:val="006A390F"/>
    <w:rsid w:val="006A580A"/>
    <w:rsid w:val="006B34CD"/>
    <w:rsid w:val="006B41E8"/>
    <w:rsid w:val="006C528F"/>
    <w:rsid w:val="006C691E"/>
    <w:rsid w:val="006C6CA7"/>
    <w:rsid w:val="006D00E0"/>
    <w:rsid w:val="006D0A31"/>
    <w:rsid w:val="006D206F"/>
    <w:rsid w:val="006D59C3"/>
    <w:rsid w:val="006E4386"/>
    <w:rsid w:val="006E5310"/>
    <w:rsid w:val="006F0C81"/>
    <w:rsid w:val="006F5EED"/>
    <w:rsid w:val="006F7780"/>
    <w:rsid w:val="007116D0"/>
    <w:rsid w:val="00717F9D"/>
    <w:rsid w:val="00725CE5"/>
    <w:rsid w:val="0073019F"/>
    <w:rsid w:val="00734046"/>
    <w:rsid w:val="00735560"/>
    <w:rsid w:val="00736027"/>
    <w:rsid w:val="007370E0"/>
    <w:rsid w:val="007466B8"/>
    <w:rsid w:val="00751448"/>
    <w:rsid w:val="00751A09"/>
    <w:rsid w:val="007523F2"/>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0416"/>
    <w:rsid w:val="007B7CAA"/>
    <w:rsid w:val="007C21F3"/>
    <w:rsid w:val="007C28FF"/>
    <w:rsid w:val="007C5A7E"/>
    <w:rsid w:val="007C5AC5"/>
    <w:rsid w:val="007D26E7"/>
    <w:rsid w:val="007D58D1"/>
    <w:rsid w:val="007D68D7"/>
    <w:rsid w:val="007E17CF"/>
    <w:rsid w:val="007F026B"/>
    <w:rsid w:val="007F5A15"/>
    <w:rsid w:val="0080157D"/>
    <w:rsid w:val="0080490A"/>
    <w:rsid w:val="00805021"/>
    <w:rsid w:val="00813788"/>
    <w:rsid w:val="008200C1"/>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1CD2"/>
    <w:rsid w:val="00872CCF"/>
    <w:rsid w:val="00890A44"/>
    <w:rsid w:val="00891DDA"/>
    <w:rsid w:val="00894724"/>
    <w:rsid w:val="008A09D1"/>
    <w:rsid w:val="008A37FE"/>
    <w:rsid w:val="008B5468"/>
    <w:rsid w:val="008B5F0B"/>
    <w:rsid w:val="008B78AD"/>
    <w:rsid w:val="008C37F3"/>
    <w:rsid w:val="008C5BE5"/>
    <w:rsid w:val="008C7FED"/>
    <w:rsid w:val="008D678B"/>
    <w:rsid w:val="0090595F"/>
    <w:rsid w:val="0090670A"/>
    <w:rsid w:val="00906781"/>
    <w:rsid w:val="00911330"/>
    <w:rsid w:val="00914820"/>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E39FC"/>
    <w:rsid w:val="009F0766"/>
    <w:rsid w:val="009F19B6"/>
    <w:rsid w:val="009F4B40"/>
    <w:rsid w:val="00A03853"/>
    <w:rsid w:val="00A06BB0"/>
    <w:rsid w:val="00A11F99"/>
    <w:rsid w:val="00A156D9"/>
    <w:rsid w:val="00A243BC"/>
    <w:rsid w:val="00A276C9"/>
    <w:rsid w:val="00A27943"/>
    <w:rsid w:val="00A31D43"/>
    <w:rsid w:val="00A36061"/>
    <w:rsid w:val="00A402C6"/>
    <w:rsid w:val="00A5008B"/>
    <w:rsid w:val="00A65CD4"/>
    <w:rsid w:val="00A70998"/>
    <w:rsid w:val="00A70F4C"/>
    <w:rsid w:val="00A736E3"/>
    <w:rsid w:val="00A74384"/>
    <w:rsid w:val="00AA6478"/>
    <w:rsid w:val="00AA6A67"/>
    <w:rsid w:val="00AB2670"/>
    <w:rsid w:val="00AB2B0F"/>
    <w:rsid w:val="00AC096E"/>
    <w:rsid w:val="00AC5736"/>
    <w:rsid w:val="00AC69B7"/>
    <w:rsid w:val="00AC7691"/>
    <w:rsid w:val="00AD5F87"/>
    <w:rsid w:val="00AD689E"/>
    <w:rsid w:val="00AD7D6F"/>
    <w:rsid w:val="00AE0C65"/>
    <w:rsid w:val="00AE5A16"/>
    <w:rsid w:val="00AF0A71"/>
    <w:rsid w:val="00AF2833"/>
    <w:rsid w:val="00AF2A0E"/>
    <w:rsid w:val="00B03355"/>
    <w:rsid w:val="00B0469B"/>
    <w:rsid w:val="00B127DF"/>
    <w:rsid w:val="00B14566"/>
    <w:rsid w:val="00B237EB"/>
    <w:rsid w:val="00B24D94"/>
    <w:rsid w:val="00B268E1"/>
    <w:rsid w:val="00B269D7"/>
    <w:rsid w:val="00B27BCA"/>
    <w:rsid w:val="00B303C2"/>
    <w:rsid w:val="00B33C2C"/>
    <w:rsid w:val="00B362C3"/>
    <w:rsid w:val="00B362CE"/>
    <w:rsid w:val="00B4385F"/>
    <w:rsid w:val="00B43F7F"/>
    <w:rsid w:val="00B62608"/>
    <w:rsid w:val="00B63A00"/>
    <w:rsid w:val="00B651CC"/>
    <w:rsid w:val="00B73F27"/>
    <w:rsid w:val="00B74C14"/>
    <w:rsid w:val="00B92BAD"/>
    <w:rsid w:val="00B9520A"/>
    <w:rsid w:val="00B979F5"/>
    <w:rsid w:val="00BA07A7"/>
    <w:rsid w:val="00BA3056"/>
    <w:rsid w:val="00BA43AB"/>
    <w:rsid w:val="00BB47F3"/>
    <w:rsid w:val="00BC0513"/>
    <w:rsid w:val="00BC2E17"/>
    <w:rsid w:val="00BC48B9"/>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76157"/>
    <w:rsid w:val="00C83D98"/>
    <w:rsid w:val="00C87EB0"/>
    <w:rsid w:val="00C9140D"/>
    <w:rsid w:val="00C92139"/>
    <w:rsid w:val="00C94906"/>
    <w:rsid w:val="00CA0830"/>
    <w:rsid w:val="00CA08E7"/>
    <w:rsid w:val="00CA0BB3"/>
    <w:rsid w:val="00CA21F2"/>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3EA8"/>
    <w:rsid w:val="00D66E92"/>
    <w:rsid w:val="00D75966"/>
    <w:rsid w:val="00D76DA8"/>
    <w:rsid w:val="00D76EB9"/>
    <w:rsid w:val="00D97840"/>
    <w:rsid w:val="00DB0E6F"/>
    <w:rsid w:val="00DB66DC"/>
    <w:rsid w:val="00DC0F80"/>
    <w:rsid w:val="00DC1C67"/>
    <w:rsid w:val="00DD7D0E"/>
    <w:rsid w:val="00DF02D4"/>
    <w:rsid w:val="00DF2AD8"/>
    <w:rsid w:val="00DF7FCB"/>
    <w:rsid w:val="00E066BD"/>
    <w:rsid w:val="00E1736F"/>
    <w:rsid w:val="00E17FF5"/>
    <w:rsid w:val="00E26009"/>
    <w:rsid w:val="00E3162A"/>
    <w:rsid w:val="00E37C85"/>
    <w:rsid w:val="00E407C9"/>
    <w:rsid w:val="00E41A9B"/>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95899"/>
    <w:rsid w:val="00EA7020"/>
    <w:rsid w:val="00EB2FD4"/>
    <w:rsid w:val="00EB435A"/>
    <w:rsid w:val="00EB7300"/>
    <w:rsid w:val="00EC5664"/>
    <w:rsid w:val="00EC6E3A"/>
    <w:rsid w:val="00EE0CE1"/>
    <w:rsid w:val="00EE1078"/>
    <w:rsid w:val="00EF79B0"/>
    <w:rsid w:val="00F024DB"/>
    <w:rsid w:val="00F11FA5"/>
    <w:rsid w:val="00F143B1"/>
    <w:rsid w:val="00F1451E"/>
    <w:rsid w:val="00F172F4"/>
    <w:rsid w:val="00F205F9"/>
    <w:rsid w:val="00F23CF0"/>
    <w:rsid w:val="00F3777D"/>
    <w:rsid w:val="00F45942"/>
    <w:rsid w:val="00F45AE1"/>
    <w:rsid w:val="00F5192E"/>
    <w:rsid w:val="00F53F01"/>
    <w:rsid w:val="00F57D63"/>
    <w:rsid w:val="00F640B5"/>
    <w:rsid w:val="00F67176"/>
    <w:rsid w:val="00F711B9"/>
    <w:rsid w:val="00F71340"/>
    <w:rsid w:val="00F765BA"/>
    <w:rsid w:val="00F76AA6"/>
    <w:rsid w:val="00F81F40"/>
    <w:rsid w:val="00F8284A"/>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C7629ED"/>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24"/>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30"/>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1"/>
    <w:qFormat/>
    <w:uiPriority w:val="0"/>
    <w:pPr>
      <w:spacing w:line="360" w:lineRule="auto"/>
      <w:ind w:firstLine="480" w:firstLineChars="200"/>
    </w:pPr>
    <w:rPr>
      <w:rFonts w:ascii="仿宋_GB2312"/>
      <w:sz w:val="24"/>
    </w:rPr>
  </w:style>
  <w:style w:type="paragraph" w:styleId="7">
    <w:name w:val="Body Text Indent 2"/>
    <w:basedOn w:val="1"/>
    <w:link w:val="34"/>
    <w:qFormat/>
    <w:uiPriority w:val="0"/>
    <w:pPr>
      <w:widowControl/>
      <w:ind w:firstLine="562" w:firstLineChars="200"/>
      <w:jc w:val="left"/>
    </w:pPr>
    <w:rPr>
      <w:b/>
      <w:bCs/>
      <w:sz w:val="28"/>
      <w:szCs w:val="24"/>
    </w:rPr>
  </w:style>
  <w:style w:type="paragraph" w:styleId="8">
    <w:name w:val="Balloon Text"/>
    <w:basedOn w:val="1"/>
    <w:link w:val="29"/>
    <w:semiHidden/>
    <w:unhideWhenUsed/>
    <w:qFormat/>
    <w:uiPriority w:val="99"/>
    <w:rPr>
      <w:sz w:val="18"/>
      <w:szCs w:val="18"/>
    </w:rPr>
  </w:style>
  <w:style w:type="paragraph" w:styleId="9">
    <w:name w:val="footer"/>
    <w:basedOn w:val="1"/>
    <w:link w:val="27"/>
    <w:unhideWhenUsed/>
    <w:qFormat/>
    <w:uiPriority w:val="99"/>
    <w:pPr>
      <w:tabs>
        <w:tab w:val="center" w:pos="4153"/>
        <w:tab w:val="right" w:pos="8306"/>
      </w:tabs>
      <w:snapToGrid w:val="0"/>
      <w:jc w:val="left"/>
    </w:pPr>
    <w:rPr>
      <w:sz w:val="18"/>
      <w:szCs w:val="18"/>
    </w:rPr>
  </w:style>
  <w:style w:type="paragraph" w:styleId="10">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5"/>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6"/>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FollowedHyperlink"/>
    <w:basedOn w:val="18"/>
    <w:semiHidden/>
    <w:unhideWhenUsed/>
    <w:qFormat/>
    <w:uiPriority w:val="99"/>
    <w:rPr>
      <w:color w:val="800080" w:themeColor="followedHyperlink"/>
      <w:u w:val="single"/>
      <w14:textFill>
        <w14:solidFill>
          <w14:schemeClr w14:val="folHlink"/>
        </w14:solidFill>
      </w14:textFill>
    </w:rPr>
  </w:style>
  <w:style w:type="character" w:styleId="22">
    <w:name w:val="Hyperlink"/>
    <w:qFormat/>
    <w:uiPriority w:val="99"/>
    <w:rPr>
      <w:color w:val="0000FF"/>
      <w:u w:val="single"/>
    </w:rPr>
  </w:style>
  <w:style w:type="character" w:styleId="23">
    <w:name w:val="annotation reference"/>
    <w:basedOn w:val="18"/>
    <w:semiHidden/>
    <w:unhideWhenUsed/>
    <w:qFormat/>
    <w:uiPriority w:val="99"/>
    <w:rPr>
      <w:sz w:val="21"/>
      <w:szCs w:val="21"/>
    </w:rPr>
  </w:style>
  <w:style w:type="character" w:customStyle="1" w:styleId="24">
    <w:name w:val="标题 1 字符"/>
    <w:basedOn w:val="18"/>
    <w:link w:val="2"/>
    <w:qFormat/>
    <w:uiPriority w:val="9"/>
    <w:rPr>
      <w:rFonts w:ascii="Times New Roman" w:hAnsi="Times New Roman" w:eastAsia="宋体" w:cs="Times New Roman"/>
      <w:b/>
      <w:bCs/>
      <w:kern w:val="44"/>
      <w:sz w:val="44"/>
      <w:szCs w:val="44"/>
    </w:rPr>
  </w:style>
  <w:style w:type="character" w:customStyle="1" w:styleId="25">
    <w:name w:val="标题 2 字符"/>
    <w:basedOn w:val="18"/>
    <w:link w:val="3"/>
    <w:qFormat/>
    <w:uiPriority w:val="9"/>
    <w:rPr>
      <w:rFonts w:asciiTheme="majorHAnsi" w:hAnsiTheme="majorHAnsi" w:eastAsiaTheme="majorEastAsia" w:cstheme="majorBidi"/>
      <w:b/>
      <w:bCs/>
      <w:sz w:val="32"/>
      <w:szCs w:val="32"/>
    </w:rPr>
  </w:style>
  <w:style w:type="character" w:customStyle="1" w:styleId="26">
    <w:name w:val="页眉 字符"/>
    <w:basedOn w:val="18"/>
    <w:link w:val="10"/>
    <w:qFormat/>
    <w:uiPriority w:val="0"/>
    <w:rPr>
      <w:sz w:val="18"/>
      <w:szCs w:val="18"/>
    </w:rPr>
  </w:style>
  <w:style w:type="character" w:customStyle="1" w:styleId="27">
    <w:name w:val="页脚 字符"/>
    <w:basedOn w:val="18"/>
    <w:link w:val="9"/>
    <w:qFormat/>
    <w:uiPriority w:val="99"/>
    <w:rPr>
      <w:sz w:val="18"/>
      <w:szCs w:val="18"/>
    </w:rPr>
  </w:style>
  <w:style w:type="paragraph" w:customStyle="1" w:styleId="28">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9">
    <w:name w:val="批注框文本 字符"/>
    <w:basedOn w:val="18"/>
    <w:link w:val="8"/>
    <w:semiHidden/>
    <w:qFormat/>
    <w:uiPriority w:val="99"/>
    <w:rPr>
      <w:rFonts w:ascii="Times New Roman" w:hAnsi="Times New Roman" w:eastAsia="宋体" w:cs="Times New Roman"/>
      <w:sz w:val="18"/>
      <w:szCs w:val="18"/>
    </w:rPr>
  </w:style>
  <w:style w:type="character" w:customStyle="1" w:styleId="30">
    <w:name w:val="批注文字 字符"/>
    <w:basedOn w:val="18"/>
    <w:link w:val="4"/>
    <w:semiHidden/>
    <w:qFormat/>
    <w:uiPriority w:val="99"/>
    <w:rPr>
      <w:rFonts w:ascii="Times New Roman" w:hAnsi="Times New Roman" w:eastAsia="宋体" w:cs="Times New Roman"/>
      <w:szCs w:val="20"/>
    </w:rPr>
  </w:style>
  <w:style w:type="character" w:customStyle="1" w:styleId="31">
    <w:name w:val="纯文本 字符"/>
    <w:basedOn w:val="18"/>
    <w:link w:val="6"/>
    <w:qFormat/>
    <w:uiPriority w:val="0"/>
    <w:rPr>
      <w:rFonts w:ascii="仿宋_GB2312" w:hAnsi="Times New Roman" w:eastAsia="宋体" w:cs="Times New Roman"/>
      <w:sz w:val="24"/>
      <w:szCs w:val="20"/>
    </w:rPr>
  </w:style>
  <w:style w:type="paragraph" w:customStyle="1" w:styleId="32">
    <w:name w:val="_Style 8"/>
    <w:basedOn w:val="1"/>
    <w:next w:val="1"/>
    <w:qFormat/>
    <w:uiPriority w:val="0"/>
    <w:pPr>
      <w:spacing w:line="360" w:lineRule="auto"/>
      <w:ind w:firstLine="480" w:firstLineChars="200"/>
    </w:pPr>
    <w:rPr>
      <w:rFonts w:ascii="仿宋_GB2312"/>
      <w:sz w:val="24"/>
    </w:rPr>
  </w:style>
  <w:style w:type="paragraph" w:styleId="33">
    <w:name w:val="List Paragraph"/>
    <w:basedOn w:val="1"/>
    <w:qFormat/>
    <w:uiPriority w:val="34"/>
    <w:pPr>
      <w:ind w:firstLine="420" w:firstLineChars="200"/>
    </w:pPr>
    <w:rPr>
      <w:rFonts w:ascii="仿宋_GB2312" w:eastAsia="仿宋_GB2312"/>
      <w:spacing w:val="-4"/>
      <w:sz w:val="32"/>
    </w:rPr>
  </w:style>
  <w:style w:type="character" w:customStyle="1" w:styleId="34">
    <w:name w:val="正文文本缩进 2 字符"/>
    <w:basedOn w:val="18"/>
    <w:link w:val="7"/>
    <w:qFormat/>
    <w:uiPriority w:val="0"/>
    <w:rPr>
      <w:rFonts w:ascii="Times New Roman" w:hAnsi="Times New Roman" w:eastAsia="宋体" w:cs="Times New Roman"/>
      <w:b/>
      <w:bCs/>
      <w:sz w:val="28"/>
      <w:szCs w:val="24"/>
    </w:rPr>
  </w:style>
  <w:style w:type="character" w:customStyle="1" w:styleId="35">
    <w:name w:val="标题 字符"/>
    <w:basedOn w:val="18"/>
    <w:link w:val="14"/>
    <w:qFormat/>
    <w:uiPriority w:val="0"/>
    <w:rPr>
      <w:rFonts w:ascii="Cambria" w:hAnsi="Cambria" w:eastAsia="黑体" w:cs="Times New Roman"/>
      <w:b/>
      <w:bCs/>
      <w:sz w:val="52"/>
      <w:szCs w:val="32"/>
    </w:rPr>
  </w:style>
  <w:style w:type="character" w:customStyle="1" w:styleId="36">
    <w:name w:val="批注主题 字符"/>
    <w:basedOn w:val="30"/>
    <w:link w:val="15"/>
    <w:semiHidden/>
    <w:qFormat/>
    <w:uiPriority w:val="99"/>
    <w:rPr>
      <w:rFonts w:ascii="Times New Roman" w:hAnsi="Times New Roman" w:eastAsia="宋体" w:cs="Times New Roman"/>
      <w:b/>
      <w:bCs/>
      <w:szCs w:val="20"/>
    </w:rPr>
  </w:style>
  <w:style w:type="character" w:customStyle="1" w:styleId="37">
    <w:name w:val="title1"/>
    <w:qFormat/>
    <w:uiPriority w:val="0"/>
    <w:rPr>
      <w:b/>
      <w:bCs/>
      <w:color w:val="999900"/>
      <w:sz w:val="24"/>
      <w:szCs w:val="24"/>
    </w:rPr>
  </w:style>
  <w:style w:type="paragraph" w:customStyle="1" w:styleId="38">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9">
    <w:name w:val="Revision"/>
    <w:hidden/>
    <w:unhideWhenUsed/>
    <w:qFormat/>
    <w:uiPriority w:val="99"/>
    <w:pPr>
      <w:spacing w:after="0" w:line="240" w:lineRule="auto"/>
    </w:pPr>
    <w:rPr>
      <w:rFonts w:ascii="Times New Roman" w:hAnsi="Times New Roman" w:eastAsia="宋体" w:cs="Times New Roman"/>
      <w:kern w:val="2"/>
      <w:sz w:val="21"/>
      <w:lang w:val="en-US" w:eastAsia="zh-CN" w:bidi="ar-SA"/>
    </w:rPr>
  </w:style>
  <w:style w:type="character" w:customStyle="1" w:styleId="40">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D5566-C546-C741-A83D-E0C68B4E684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Pages>
  <Words>1113</Words>
  <Characters>2847</Characters>
  <Lines>24</Lines>
  <Paragraphs>6</Paragraphs>
  <TotalTime>84</TotalTime>
  <ScaleCrop>false</ScaleCrop>
  <LinksUpToDate>false</LinksUpToDate>
  <CharactersWithSpaces>3127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2025-09-10T01:09:00Z</dcterms:created>
  <dc:creator>胡胜链</dc:creator>
  <cp:lastModifiedBy>葛格</cp:lastModifiedBy>
  <cp:lastPrinted>2022-01-28T09:53:00Z</cp:lastPrinted>
  <dcterms:modified xsi:type="dcterms:W3CDTF">2025-09-17T09:04:32Z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6342F544258448A4A30EC18DAEAC2ECC_13</vt:lpwstr>
  </property>
  <property fmtid="{D5CDD505-2E9C-101B-9397-08002B2CF9AE}" pid="4" name="KSOTemplateDocerSaveRecord">
    <vt:lpwstr>eyJoZGlkIjoiMzA1N2FkYjAwMjEzMzYyZGM5Mjc5MzliZjJiMGU4N2QiLCJ1c2VySWQiOiIxNjUxNjc4MTQzIn0=</vt:lpwstr>
  </property>
</Properties>
</file>