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21F4BD">
      <w:pPr>
        <w:jc w:val="center"/>
        <w:rPr>
          <w:rStyle w:val="36"/>
          <w:rFonts w:eastAsia="方正小标宋简体"/>
          <w:bCs w:val="0"/>
          <w:color w:val="auto"/>
          <w:sz w:val="36"/>
          <w:szCs w:val="36"/>
        </w:rPr>
      </w:pPr>
      <w:bookmarkStart w:id="2" w:name="_GoBack"/>
      <w:bookmarkEnd w:id="2"/>
      <w:r>
        <w:rPr>
          <w:rStyle w:val="36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36"/>
          <w:rFonts w:eastAsia="仿宋_GB2312"/>
          <w:b w:val="0"/>
          <w:color w:val="auto"/>
          <w:sz w:val="32"/>
          <w:szCs w:val="32"/>
        </w:rPr>
        <w:t>（单位提名）</w:t>
      </w:r>
    </w:p>
    <w:p w14:paraId="20B6D97E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 w14:paraId="31E8E6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 w14:paraId="21C280A8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3DCE6441">
            <w:pPr>
              <w:jc w:val="center"/>
              <w:rPr>
                <w:rStyle w:val="36"/>
                <w:rFonts w:hint="eastAsia" w:asciiTheme="minorEastAsia" w:hAnsiTheme="minorEastAsia" w:eastAsiaTheme="minorEastAsia"/>
                <w:b w:val="0"/>
                <w:color w:val="auto"/>
                <w:sz w:val="28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大肠癌早筛早诊体系的范式创新与推广应用</w:t>
            </w:r>
          </w:p>
        </w:tc>
      </w:tr>
      <w:tr w14:paraId="6B4F77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69" w:type="dxa"/>
            <w:vAlign w:val="center"/>
          </w:tcPr>
          <w:p w14:paraId="4EDCFB7A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0EA85848">
            <w:pPr>
              <w:jc w:val="center"/>
              <w:rPr>
                <w:rFonts w:hint="eastAsia" w:asciiTheme="minorEastAsia" w:hAnsiTheme="minorEastAsia" w:eastAsia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一等奖</w:t>
            </w:r>
          </w:p>
        </w:tc>
      </w:tr>
      <w:tr w14:paraId="7F1BA8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</w:trPr>
        <w:tc>
          <w:tcPr>
            <w:tcW w:w="2269" w:type="dxa"/>
            <w:vAlign w:val="center"/>
          </w:tcPr>
          <w:p w14:paraId="629FD6AD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28FB9CAA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5F3493EC">
            <w:pPr>
              <w:spacing w:line="360" w:lineRule="auto"/>
              <w:rPr>
                <w:rFonts w:hint="eastAsia"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见附件1、2</w:t>
            </w:r>
          </w:p>
        </w:tc>
      </w:tr>
      <w:tr w14:paraId="10B0B7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631AAE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11922F03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丁克峰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，排名1，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教授、主任医师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浙江大学医学院附属第二医院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；</w:t>
            </w:r>
          </w:p>
          <w:p w14:paraId="302246FB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胡烨婷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，排名2，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副主任医师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浙江大学医学院附属第二医院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；</w:t>
            </w:r>
          </w:p>
          <w:p w14:paraId="2E09CA33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肖乾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，排名3，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副主任医师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浙江大学医学院附属第二医院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；</w:t>
            </w:r>
          </w:p>
          <w:p w14:paraId="5947545B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李军，排名4，主任医师，浙江大学医学院附属第二医院；</w:t>
            </w:r>
          </w:p>
          <w:p w14:paraId="2E0BB7AC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孔祥兴，排名5，主治医师，浙江大学医学院附属第二医院；</w:t>
            </w:r>
          </w:p>
          <w:p w14:paraId="23C75469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李雪，排名6，研究员，浙江大学；</w:t>
            </w:r>
          </w:p>
          <w:p w14:paraId="40E11CFA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周欣毅，排名7，副主任医师，浙江大学医学院附属第二医院；</w:t>
            </w:r>
          </w:p>
          <w:p w14:paraId="518BBF7F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郑树，排名8，教授、主任医师，浙江大学医学院附属第二医院；</w:t>
            </w:r>
          </w:p>
          <w:p w14:paraId="112DEDCF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黄彦钦，排名9，助理研究员，浙江大学医学院附属第二医院；</w:t>
            </w:r>
          </w:p>
          <w:p w14:paraId="39024A93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朱应双，排名10，副教授，杭州师范大学；</w:t>
            </w:r>
          </w:p>
          <w:p w14:paraId="6F31921B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刘成成，排名11，助理研究员，浙江大学医学院附属第二医院；</w:t>
            </w:r>
          </w:p>
          <w:p w14:paraId="79D4C99E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陈泽鑫，排名12，统计师，浙江大学医学院附属第二医院；</w:t>
            </w:r>
          </w:p>
          <w:p w14:paraId="489ED726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陈一友，排名13，无，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杭州诺辉健康科技有限公司。</w:t>
            </w:r>
          </w:p>
        </w:tc>
      </w:tr>
      <w:tr w14:paraId="02AD81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66853C20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20608480">
            <w:pPr>
              <w:spacing w:line="440" w:lineRule="exact"/>
              <w:jc w:val="lef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1.单位名称：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浙江大学医学院附属第二医院</w:t>
            </w:r>
          </w:p>
          <w:p w14:paraId="2F80FE6E">
            <w:pPr>
              <w:spacing w:line="440" w:lineRule="exact"/>
              <w:jc w:val="lef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2.单位名称：</w:t>
            </w:r>
            <w:bookmarkStart w:id="0" w:name="OLE_LINK1"/>
            <w:r>
              <w:rPr>
                <w:rFonts w:hint="eastAsia" w:asciiTheme="minorEastAsia" w:hAnsiTheme="minorEastAsia" w:eastAsiaTheme="minorEastAsia"/>
                <w:sz w:val="24"/>
              </w:rPr>
              <w:t>杭州诺辉健康科技有限公司</w:t>
            </w:r>
            <w:bookmarkEnd w:id="0"/>
          </w:p>
        </w:tc>
      </w:tr>
      <w:tr w14:paraId="08EADE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269" w:type="dxa"/>
            <w:vAlign w:val="center"/>
          </w:tcPr>
          <w:p w14:paraId="5550C668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16D8741B">
            <w:pPr>
              <w:contextualSpacing/>
              <w:jc w:val="center"/>
              <w:rPr>
                <w:rStyle w:val="36"/>
                <w:rFonts w:hint="eastAsia" w:asciiTheme="minorEastAsia" w:hAnsiTheme="minorEastAsia" w:eastAsiaTheme="minorEastAsia"/>
                <w:b w:val="0"/>
                <w:color w:val="auto"/>
              </w:rPr>
            </w:pPr>
            <w:r>
              <w:rPr>
                <w:rStyle w:val="36"/>
                <w:rFonts w:hint="eastAsia" w:asciiTheme="minorEastAsia" w:hAnsiTheme="minorEastAsia" w:eastAsiaTheme="minorEastAsia"/>
                <w:b w:val="0"/>
                <w:color w:val="auto"/>
              </w:rPr>
              <w:t>浙江大学</w:t>
            </w:r>
          </w:p>
        </w:tc>
      </w:tr>
      <w:tr w14:paraId="790447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269" w:type="dxa"/>
            <w:vAlign w:val="center"/>
          </w:tcPr>
          <w:p w14:paraId="356C0136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0B7740F9">
            <w:pPr>
              <w:ind w:firstLine="480" w:firstLineChars="200"/>
              <w:contextualSpacing/>
              <w:rPr>
                <w:rStyle w:val="36"/>
                <w:rFonts w:hint="eastAsia" w:asciiTheme="minorEastAsia" w:hAnsiTheme="minorEastAsia" w:eastAsiaTheme="minorEastAsia"/>
                <w:b w:val="0"/>
                <w:color w:val="auto"/>
              </w:rPr>
            </w:pP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针对我国肠癌筛查效能低下，全程管理与精准干预策略不清晰的问题，该团队开展了大肠癌早筛早诊体系范式创新与推广应用的研究工作，主要创新成果如下：1）建设质量优于国际同行的中国结直肠癌专病队列，鉴定了以菌群DNA、多维蛋白质组为代表的筛查生物标志物，为开发便携式早筛试剂盒提供线索；2）研发我国首个获批的结直肠癌早筛产品“常卫清”（多靶点粪便FIT-DNA检测试剂盒），并通过首个大规模、前瞻性、多中心注册临床试验（Clear-C）证实其有效性；3）建立肠镜动态病变捕获/识别系统与高危人群分层管理方案，确立了人群差异化随访策略。项目成果已在全国46家三甲医院推广，开发的多靶点结直肠癌筛查试剂盒已获批上市并投入临床应用，牵头制定了《中国结直肠癌早诊早治专家共识》并在全国推广。以上成果建立了大肠癌早筛早诊的新范式，项目整体水平国际先进，国内领先，推荐申报浙江省科学技术进步一等奖</w:t>
            </w:r>
            <w:r>
              <w:rPr>
                <w:rStyle w:val="36"/>
                <w:rFonts w:hint="eastAsia" w:asciiTheme="minorEastAsia" w:hAnsiTheme="minorEastAsia" w:eastAsiaTheme="minorEastAsia"/>
                <w:b w:val="0"/>
                <w:color w:val="auto"/>
              </w:rPr>
              <w:t>。</w:t>
            </w:r>
          </w:p>
        </w:tc>
      </w:tr>
    </w:tbl>
    <w:p w14:paraId="3A45F310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702C8EBF">
      <w:pPr>
        <w:rPr>
          <w:bCs/>
          <w:spacing w:val="2"/>
        </w:rPr>
        <w:sectPr>
          <w:footerReference r:id="rId5" w:type="default"/>
          <w:pgSz w:w="12242" w:h="15842"/>
          <w:pgMar w:top="1247" w:right="1134" w:bottom="1247" w:left="1418" w:header="851" w:footer="794" w:gutter="0"/>
          <w:cols w:space="720" w:num="1"/>
          <w:docGrid w:linePitch="286" w:charSpace="0"/>
        </w:sectPr>
      </w:pPr>
    </w:p>
    <w:p w14:paraId="75F02188">
      <w:pPr>
        <w:rPr>
          <w:bCs/>
          <w:spacing w:val="2"/>
        </w:rPr>
      </w:pPr>
    </w:p>
    <w:p w14:paraId="18434C8E">
      <w:pPr>
        <w:pStyle w:val="4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t>主要知识产权和标准规范目录</w:t>
      </w:r>
    </w:p>
    <w:tbl>
      <w:tblPr>
        <w:tblStyle w:val="16"/>
        <w:tblW w:w="145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2577"/>
        <w:gridCol w:w="992"/>
        <w:gridCol w:w="1655"/>
        <w:gridCol w:w="1213"/>
        <w:gridCol w:w="1213"/>
        <w:gridCol w:w="1213"/>
        <w:gridCol w:w="2215"/>
        <w:gridCol w:w="2215"/>
      </w:tblGrid>
      <w:tr w14:paraId="1AE7D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C97A9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</w:t>
            </w:r>
          </w:p>
          <w:p w14:paraId="71B31172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（标准规范）类别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B1478F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知识产权（标准规范）具体名称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13309D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国家</w:t>
            </w:r>
          </w:p>
          <w:p w14:paraId="1C3CADA9">
            <w:pPr>
              <w:jc w:val="center"/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</w:pPr>
            <w:r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DEEFD4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授权号</w:t>
            </w:r>
          </w:p>
          <w:p w14:paraId="29A38424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（标准规范编号）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1110AE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</w:t>
            </w:r>
          </w:p>
          <w:p w14:paraId="06B98E2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（标准发布）</w:t>
            </w:r>
          </w:p>
          <w:p w14:paraId="178EFE5B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日期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C0B10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543211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权利人（标准规范起草单位）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11BA8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发明人（标准规范起草人）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C91F2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发明专利（标准规范）有效状态</w:t>
            </w:r>
          </w:p>
        </w:tc>
      </w:tr>
      <w:tr w14:paraId="3D4896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E6A294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1.标准规范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F7E054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中国结直肠癌早诊早治专家共识（2023版）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65EB2D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FC166F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F5682F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2023.12.26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AA8DF7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中华医学杂志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153417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中华医学会肿瘤学分会早诊早治学组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7C3DD4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丁克峰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5CE84D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有效</w:t>
            </w:r>
          </w:p>
        </w:tc>
      </w:tr>
      <w:tr w14:paraId="5CAA6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B8417B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2.软件著作权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B4E2AD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消化内镜影像半自动化计算机视觉标注软件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68DC43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D6F93D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2023SR0431720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247F97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2023.1.2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F82F2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F5582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王达，凌添翼，丁克峰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D01CAA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王达，凌添翼，丁克峰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E887B0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有效</w:t>
            </w:r>
          </w:p>
        </w:tc>
      </w:tr>
      <w:tr w14:paraId="6DE4A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E2D592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3.专利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27F3CA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检测NDRG4基因甲基化位点的产品在制备结直肠癌早期检测的产品的用途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C07D9A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9F4208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ZL201810502387.9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B4F283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2019.12.17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C881FA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2F2D5B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杭州诺辉健康科技有限公司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EBFE96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李慧，李存耀，郑伟贤，杨蛟，刘刚，吕宁，陈一友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928426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有效</w:t>
            </w:r>
          </w:p>
        </w:tc>
      </w:tr>
      <w:tr w14:paraId="0D8E4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17A6A">
            <w:pPr>
              <w:rPr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C219A9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5F4A79">
            <w:pPr>
              <w:rPr>
                <w:sz w:val="28"/>
                <w:szCs w:val="28"/>
              </w:rPr>
            </w:pP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B8FB3E">
            <w:pPr>
              <w:rPr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8B59F5">
            <w:pPr>
              <w:rPr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06DD27">
            <w:pPr>
              <w:rPr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5EF024">
            <w:pPr>
              <w:rPr>
                <w:sz w:val="28"/>
                <w:szCs w:val="28"/>
              </w:rPr>
            </w:pP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2F8027">
            <w:pPr>
              <w:rPr>
                <w:sz w:val="28"/>
                <w:szCs w:val="28"/>
              </w:rPr>
            </w:pP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54214C">
            <w:pPr>
              <w:rPr>
                <w:sz w:val="28"/>
                <w:szCs w:val="28"/>
              </w:rPr>
            </w:pPr>
          </w:p>
        </w:tc>
      </w:tr>
      <w:tr w14:paraId="70E02C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030CD4">
            <w:pPr>
              <w:rPr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0FE86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54550C">
            <w:pPr>
              <w:rPr>
                <w:sz w:val="28"/>
                <w:szCs w:val="28"/>
              </w:rPr>
            </w:pP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4F70B8">
            <w:pPr>
              <w:rPr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A42800">
            <w:pPr>
              <w:rPr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9F43DE">
            <w:pPr>
              <w:rPr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FB7A82">
            <w:pPr>
              <w:rPr>
                <w:sz w:val="28"/>
                <w:szCs w:val="28"/>
              </w:rPr>
            </w:pP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97A56B">
            <w:pPr>
              <w:rPr>
                <w:sz w:val="28"/>
                <w:szCs w:val="28"/>
              </w:rPr>
            </w:pP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B1CBB1">
            <w:pPr>
              <w:rPr>
                <w:sz w:val="28"/>
                <w:szCs w:val="28"/>
              </w:rPr>
            </w:pPr>
          </w:p>
        </w:tc>
      </w:tr>
    </w:tbl>
    <w:p w14:paraId="1759BBC5">
      <w:pPr>
        <w:spacing w:before="100" w:beforeAutospacing="1" w:after="100" w:afterAutospacing="1"/>
        <w:rPr>
          <w:rFonts w:eastAsia="黑体"/>
          <w:kern w:val="0"/>
          <w:sz w:val="32"/>
          <w:szCs w:val="32"/>
        </w:rPr>
        <w:sectPr>
          <w:pgSz w:w="15842" w:h="12242" w:orient="landscape"/>
          <w:pgMar w:top="1418" w:right="1247" w:bottom="1134" w:left="1247" w:header="851" w:footer="794" w:gutter="0"/>
          <w:cols w:space="720" w:num="1"/>
          <w:docGrid w:linePitch="286" w:charSpace="0"/>
        </w:sectPr>
      </w:pPr>
    </w:p>
    <w:p w14:paraId="04B07724">
      <w:pPr>
        <w:pStyle w:val="4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t>代表性论文专著目录</w:t>
      </w:r>
    </w:p>
    <w:tbl>
      <w:tblPr>
        <w:tblStyle w:val="16"/>
        <w:tblW w:w="809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8"/>
        <w:gridCol w:w="3571"/>
        <w:gridCol w:w="963"/>
        <w:gridCol w:w="993"/>
        <w:gridCol w:w="850"/>
      </w:tblGrid>
      <w:tr w14:paraId="673268B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  <w:jc w:val="center"/>
        </w:trPr>
        <w:tc>
          <w:tcPr>
            <w:tcW w:w="1718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D75C66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作 者</w:t>
            </w:r>
          </w:p>
        </w:tc>
        <w:tc>
          <w:tcPr>
            <w:tcW w:w="3571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0070FF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论文专著名称/刊物</w:t>
            </w:r>
          </w:p>
        </w:tc>
        <w:tc>
          <w:tcPr>
            <w:tcW w:w="96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BCC77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年卷</w:t>
            </w:r>
          </w:p>
          <w:p w14:paraId="1EDFD0C4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 w:val="24"/>
              </w:rPr>
              <w:t>页码</w:t>
            </w:r>
          </w:p>
        </w:tc>
        <w:tc>
          <w:tcPr>
            <w:tcW w:w="99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58B963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发表</w:t>
            </w:r>
          </w:p>
          <w:p w14:paraId="65CCB7B2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时间</w:t>
            </w:r>
          </w:p>
          <w:p w14:paraId="79B0125C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（年、月）</w:t>
            </w:r>
          </w:p>
        </w:tc>
        <w:tc>
          <w:tcPr>
            <w:tcW w:w="85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D466F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他引</w:t>
            </w:r>
          </w:p>
          <w:p w14:paraId="624409A2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总次数</w:t>
            </w:r>
          </w:p>
        </w:tc>
      </w:tr>
      <w:tr w14:paraId="4E91CCB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8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703C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Y. Zhu, Y. Hu, X. Kong, Q. Xiao, Z. Pan, Z. Zheng, Y. Wei, W. Ziqiang, D. Wang, J. Chen, K. Chen, S. Zheng, M. Wang, X. Wu, K. Ding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899D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Cohort profile: The National Colorectal Cancer Cohort (NCRCC) study in China, BMJ Open, 11 (2021) e051397.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6B08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 Dec 13;11(12):e051397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2531F6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2021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A8A2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</w:p>
        </w:tc>
      </w:tr>
      <w:tr w14:paraId="432C917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3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6728D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Q. Xiao, W. Lu, X. Kong, Y.W. Shao, Y. Hu, A. Wang, H. Bao, R. Cao, K. Liu, X. Wang, X. Wu, S. Zheng, Y. Yuan, K. Ding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96F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Alterations of circulating bacterial DNA in colorectal cancer and adenoma: A proof-of-concept study, Cancer Letters, 499 (2021) 201-208.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CE07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499:201-208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3EBD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2021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B0D5D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</w:t>
            </w:r>
          </w:p>
        </w:tc>
      </w:tr>
      <w:tr w14:paraId="0A1D4CF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8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52C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J. Sun, Y. Liu, J. Zhao, B. Lu, S. Zhou, W. Lu, J. Wei, Y. Hu, X. Kong, J. Gao, H. Guan, J. Gao, Q. Xiao, X. Li,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FE663">
            <w:pPr>
              <w:rPr>
                <w:sz w:val="18"/>
                <w:szCs w:val="18"/>
              </w:rPr>
            </w:pPr>
          </w:p>
          <w:p w14:paraId="255622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Plasma proteomic and polygenic profiling improve risk stratification and personalized screening for colorectal cancer, Nat</w:t>
            </w:r>
            <w:r>
              <w:rPr>
                <w:rFonts w:hint="eastAsia"/>
                <w:sz w:val="18"/>
                <w:szCs w:val="18"/>
              </w:rPr>
              <w:t>ure</w:t>
            </w:r>
            <w:r>
              <w:rPr>
                <w:sz w:val="18"/>
                <w:szCs w:val="18"/>
              </w:rPr>
              <w:t xml:space="preserve"> Commun</w:t>
            </w:r>
            <w:r>
              <w:rPr>
                <w:rFonts w:hint="eastAsia"/>
                <w:sz w:val="18"/>
                <w:szCs w:val="18"/>
              </w:rPr>
              <w:t>ications</w:t>
            </w:r>
            <w:r>
              <w:rPr>
                <w:sz w:val="18"/>
                <w:szCs w:val="18"/>
              </w:rPr>
              <w:t>, 15 (2024) 8873.</w:t>
            </w:r>
          </w:p>
          <w:p w14:paraId="747A6873">
            <w:pPr>
              <w:rPr>
                <w:sz w:val="18"/>
                <w:szCs w:val="18"/>
              </w:rPr>
            </w:pPr>
          </w:p>
          <w:p w14:paraId="1706034F">
            <w:pPr>
              <w:rPr>
                <w:sz w:val="18"/>
                <w:szCs w:val="18"/>
              </w:rPr>
            </w:pPr>
          </w:p>
          <w:p w14:paraId="5CB9A72B">
            <w:pPr>
              <w:rPr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4F02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15(1), 8873.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669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2024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A899B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</w:tr>
      <w:tr w14:paraId="6B8CAC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8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1E20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J. Sun, J. Zhao, F. Jiang, L. Wang, Q. Xiao, F. Han, J. Chen, S. Yuan, J. Wei, S.C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Larsson, H. Zhang, M.G. Dunlop, S.M. Farrington, K. Ding, E. Theodoratou, X. Li,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562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Identification of novel protein biomarkers and drug targets for colorectal cancer by integrating human plasma proteome with genome, Genome Medicine, 15 (2023) 75.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4D52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Volume</w:t>
            </w:r>
          </w:p>
          <w:p w14:paraId="7773E98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  <w:p w14:paraId="34D3A5C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Issue</w:t>
            </w:r>
          </w:p>
          <w:p w14:paraId="368ACD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0359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7A1537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119</w:t>
            </w:r>
          </w:p>
        </w:tc>
      </w:tr>
      <w:tr w14:paraId="3151FD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2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F981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Y.T. Hu, X.F. Chen, C.B. Zhai, X.T. Yu, G. Liu, Z.G. Xiong, Z.Q. Wang, S.J. Cai, W.C. Li, X.X. Kong, Q. Xiao, C.H. Wang, Z.H. Tao, L.Y. Niu, J.L. Men, Q. Wang, S.Z. Wei, J.J. Hu, T.H. Yang, J.J. Peng, G.Z. Jiang, N. Lv, Y.Y. Chen, S. Zheng, Y.H. Gu, K.F. Ding,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9F8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Clinical evaluation of a multitarget fecal immunochemical test-sDNA test for colorectal cancer screening in a high-risk population: a prospective, multicenter clinical study, MedComm (2020), 4 (2023) e345.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7034E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(2023) e345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AA3DF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6F21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</w:p>
        </w:tc>
      </w:tr>
      <w:tr w14:paraId="36FD3F2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5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872E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Y. Zhu, X. Li, Y. Hu, K. Chen, S. Zheng, K. Ding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21603F">
            <w:pPr>
              <w:rPr>
                <w:sz w:val="18"/>
                <w:szCs w:val="18"/>
              </w:rPr>
            </w:pPr>
            <w:bookmarkStart w:id="1" w:name="OLE_LINK4"/>
            <w:r>
              <w:rPr>
                <w:sz w:val="18"/>
                <w:szCs w:val="18"/>
              </w:rPr>
              <w:t>Nonadherence to Referral Colonoscopy After Positive Fecal Immunochemical Test Results Increases the Risk of Distal Colorectal Cancer Mortality</w:t>
            </w:r>
            <w:bookmarkEnd w:id="1"/>
            <w:r>
              <w:rPr>
                <w:sz w:val="18"/>
                <w:szCs w:val="18"/>
              </w:rPr>
              <w:t>, Gastroenterology, 165 (2023) 1558-1560.e1554.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612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1558-1560.e1554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8DD68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2928F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</w:tr>
      <w:tr w14:paraId="1BCCFE4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7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6BC4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Y. Zhu, Y. Huang, Y. Hu, Y. Fang, X. Kong, Q. Xiao, J. He, Y. Zhu, Q. Li, J. Yang, Q. Dong, M. Jin, M. Wang, K. Chen, S. Zheng, K. Ding,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4E7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Long-term risk of colorectal cancer after removal of adenomas during screening colonoscopies in a large community-based population in China, International Journal of Cancer, 150 (2022) 594-602.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9A2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 (4) , pp.594-602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DADFBC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2022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C5F175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</w:tr>
      <w:tr w14:paraId="720500A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exact"/>
          <w:jc w:val="center"/>
        </w:trPr>
        <w:tc>
          <w:tcPr>
            <w:tcW w:w="7245" w:type="dxa"/>
            <w:gridSpan w:val="4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2242DAE8">
            <w:pPr>
              <w:jc w:val="right"/>
              <w:rPr>
                <w:szCs w:val="21"/>
              </w:rPr>
            </w:pPr>
            <w:r>
              <w:rPr>
                <w:szCs w:val="21"/>
              </w:rPr>
              <w:t>合  计: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79D4C135">
            <w:pPr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207</w:t>
            </w:r>
          </w:p>
        </w:tc>
      </w:tr>
    </w:tbl>
    <w:p w14:paraId="44F7880C"/>
    <w:p w14:paraId="132C210A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>
      <w:headerReference r:id="rId8" w:type="first"/>
      <w:headerReference r:id="rId6" w:type="default"/>
      <w:footerReference r:id="rId9" w:type="default"/>
      <w:head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D1FA46F-E246-4618-9D79-C46FE7EAD65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6EE4E6F-5C30-43C8-88D3-0F474676A60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D362311-81A4-4FAC-ABF7-D0C01F8780F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BC0E2C0-4168-4E4A-B867-DE7229C85D6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101323C-5F0D-4A39-8080-140A583BAE9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C44F2D7-BF64-4A09-BBA3-1D15298A381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080C58C3-CB3A-4354-91ED-080F7C9E5EE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38A59684-2FC8-47A1-B5E2-2056A0296C2A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9" w:fontKey="{5669703E-39C1-47E0-B3C9-191844E3F4E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E0CDA2FE-D8AC-487A-B870-747C0FEF5634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1" w:fontKey="{61C26620-E27D-4D0E-98FE-F809322A8E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35432224"/>
    </w:sdtPr>
    <w:sdtContent>
      <w:p w14:paraId="672B0BCC"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9709056"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5B22BDE4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75AFD8"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7A2905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50F4DE">
    <w:pPr>
      <w:pStyle w:val="10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5D61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7AF"/>
    <w:rsid w:val="00067E32"/>
    <w:rsid w:val="00083906"/>
    <w:rsid w:val="000847FC"/>
    <w:rsid w:val="000929AE"/>
    <w:rsid w:val="000A0FE4"/>
    <w:rsid w:val="000B2E39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0B5A"/>
    <w:rsid w:val="0012430D"/>
    <w:rsid w:val="00132249"/>
    <w:rsid w:val="001435CC"/>
    <w:rsid w:val="00153E23"/>
    <w:rsid w:val="00154376"/>
    <w:rsid w:val="001553CE"/>
    <w:rsid w:val="001614FC"/>
    <w:rsid w:val="0016168D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0065F"/>
    <w:rsid w:val="00212129"/>
    <w:rsid w:val="00213CE9"/>
    <w:rsid w:val="00214277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333"/>
    <w:rsid w:val="002745F8"/>
    <w:rsid w:val="00283031"/>
    <w:rsid w:val="0029509E"/>
    <w:rsid w:val="00296134"/>
    <w:rsid w:val="002A2925"/>
    <w:rsid w:val="002A5C34"/>
    <w:rsid w:val="002A7955"/>
    <w:rsid w:val="002B3198"/>
    <w:rsid w:val="002B775B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17DC"/>
    <w:rsid w:val="00325A9D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05CB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54D0"/>
    <w:rsid w:val="004A6419"/>
    <w:rsid w:val="004B13A5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1CA5"/>
    <w:rsid w:val="005663D6"/>
    <w:rsid w:val="00570701"/>
    <w:rsid w:val="0057414B"/>
    <w:rsid w:val="0057576E"/>
    <w:rsid w:val="0058367D"/>
    <w:rsid w:val="00586D66"/>
    <w:rsid w:val="0059269B"/>
    <w:rsid w:val="00595A3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D75F6"/>
    <w:rsid w:val="005E0059"/>
    <w:rsid w:val="005E1BDA"/>
    <w:rsid w:val="005E1F65"/>
    <w:rsid w:val="005E261D"/>
    <w:rsid w:val="005E49A6"/>
    <w:rsid w:val="005E6D32"/>
    <w:rsid w:val="005F0DC8"/>
    <w:rsid w:val="005F6CE3"/>
    <w:rsid w:val="00600FA4"/>
    <w:rsid w:val="00605720"/>
    <w:rsid w:val="00611BDC"/>
    <w:rsid w:val="006177DC"/>
    <w:rsid w:val="00623BD2"/>
    <w:rsid w:val="00626265"/>
    <w:rsid w:val="006269F8"/>
    <w:rsid w:val="006401D9"/>
    <w:rsid w:val="00642EBC"/>
    <w:rsid w:val="00643B2E"/>
    <w:rsid w:val="00646AD1"/>
    <w:rsid w:val="006546AC"/>
    <w:rsid w:val="00657E13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26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2930"/>
    <w:rsid w:val="00734046"/>
    <w:rsid w:val="00735560"/>
    <w:rsid w:val="00736027"/>
    <w:rsid w:val="007370E0"/>
    <w:rsid w:val="00743CDD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46BC"/>
    <w:rsid w:val="007D58D1"/>
    <w:rsid w:val="007D68D7"/>
    <w:rsid w:val="007E17CF"/>
    <w:rsid w:val="007F026B"/>
    <w:rsid w:val="007F5A15"/>
    <w:rsid w:val="0080157D"/>
    <w:rsid w:val="00805021"/>
    <w:rsid w:val="00813788"/>
    <w:rsid w:val="0082227E"/>
    <w:rsid w:val="00822B10"/>
    <w:rsid w:val="00823F06"/>
    <w:rsid w:val="00832304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2DB0"/>
    <w:rsid w:val="00853603"/>
    <w:rsid w:val="008550E7"/>
    <w:rsid w:val="00856D92"/>
    <w:rsid w:val="00865714"/>
    <w:rsid w:val="00866267"/>
    <w:rsid w:val="008666C1"/>
    <w:rsid w:val="00866773"/>
    <w:rsid w:val="008706BC"/>
    <w:rsid w:val="00872CCF"/>
    <w:rsid w:val="00875C87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8D00DA"/>
    <w:rsid w:val="008D352E"/>
    <w:rsid w:val="0090595F"/>
    <w:rsid w:val="0090670A"/>
    <w:rsid w:val="00906781"/>
    <w:rsid w:val="00911330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B56A3"/>
    <w:rsid w:val="009C238B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6C9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AF6EC6"/>
    <w:rsid w:val="00B03355"/>
    <w:rsid w:val="00B0469B"/>
    <w:rsid w:val="00B04BBA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50384"/>
    <w:rsid w:val="00B63A00"/>
    <w:rsid w:val="00B651CC"/>
    <w:rsid w:val="00B73F27"/>
    <w:rsid w:val="00B74C14"/>
    <w:rsid w:val="00B92BAD"/>
    <w:rsid w:val="00B9520A"/>
    <w:rsid w:val="00B969A3"/>
    <w:rsid w:val="00B979F5"/>
    <w:rsid w:val="00BA07A7"/>
    <w:rsid w:val="00BA3056"/>
    <w:rsid w:val="00BB47F3"/>
    <w:rsid w:val="00BC0513"/>
    <w:rsid w:val="00BC4DF5"/>
    <w:rsid w:val="00BD0ED0"/>
    <w:rsid w:val="00BE7259"/>
    <w:rsid w:val="00C10571"/>
    <w:rsid w:val="00C14B11"/>
    <w:rsid w:val="00C22C2B"/>
    <w:rsid w:val="00C24E7B"/>
    <w:rsid w:val="00C36E42"/>
    <w:rsid w:val="00C51DAF"/>
    <w:rsid w:val="00C52425"/>
    <w:rsid w:val="00C555AC"/>
    <w:rsid w:val="00C56CDE"/>
    <w:rsid w:val="00C5703D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96F76"/>
    <w:rsid w:val="00CA0830"/>
    <w:rsid w:val="00CA08E7"/>
    <w:rsid w:val="00CA0BB3"/>
    <w:rsid w:val="00CA21F2"/>
    <w:rsid w:val="00CB199D"/>
    <w:rsid w:val="00CB7617"/>
    <w:rsid w:val="00CC2CF9"/>
    <w:rsid w:val="00CC55CE"/>
    <w:rsid w:val="00CD125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16D4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A00B2"/>
    <w:rsid w:val="00DA226B"/>
    <w:rsid w:val="00DB571E"/>
    <w:rsid w:val="00DC0F80"/>
    <w:rsid w:val="00DC1C67"/>
    <w:rsid w:val="00DD7D0E"/>
    <w:rsid w:val="00DD7F15"/>
    <w:rsid w:val="00DF02D4"/>
    <w:rsid w:val="00DF2AD8"/>
    <w:rsid w:val="00DF7FCB"/>
    <w:rsid w:val="00E066BD"/>
    <w:rsid w:val="00E1736F"/>
    <w:rsid w:val="00E17FF5"/>
    <w:rsid w:val="00E23F97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32FC"/>
    <w:rsid w:val="00E74D76"/>
    <w:rsid w:val="00E754A7"/>
    <w:rsid w:val="00E81909"/>
    <w:rsid w:val="00E83D4E"/>
    <w:rsid w:val="00E84A18"/>
    <w:rsid w:val="00E84C25"/>
    <w:rsid w:val="00E84FF9"/>
    <w:rsid w:val="00E90C1A"/>
    <w:rsid w:val="00E93BC2"/>
    <w:rsid w:val="00EA7020"/>
    <w:rsid w:val="00EB2FD4"/>
    <w:rsid w:val="00EB7300"/>
    <w:rsid w:val="00EC5664"/>
    <w:rsid w:val="00EC56A7"/>
    <w:rsid w:val="00EE0CE1"/>
    <w:rsid w:val="00EE1078"/>
    <w:rsid w:val="00EF79B0"/>
    <w:rsid w:val="00F024DB"/>
    <w:rsid w:val="00F143B1"/>
    <w:rsid w:val="00F1451E"/>
    <w:rsid w:val="00F23CF0"/>
    <w:rsid w:val="00F32119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563C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5E95AAD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字符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字符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字符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字符"/>
    <w:basedOn w:val="18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字符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字符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字符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字符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8">
    <w:name w:val="Revision"/>
    <w:hidden/>
    <w:unhideWhenUsed/>
    <w:uiPriority w:val="99"/>
    <w:pPr>
      <w:spacing w:after="0" w:line="240" w:lineRule="auto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1580</Words>
  <Characters>3175</Characters>
  <Lines>247</Lines>
  <Paragraphs>137</Paragraphs>
  <TotalTime>92</TotalTime>
  <ScaleCrop>false</ScaleCrop>
  <LinksUpToDate>false</LinksUpToDate>
  <CharactersWithSpaces>3537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2025-09-10T01:09:00Z</dcterms:created>
  <dc:creator>胡胜链</dc:creator>
  <cp:lastModifiedBy>葛格</cp:lastModifiedBy>
  <cp:lastPrinted>2022-01-28T09:53:00Z</cp:lastPrinted>
  <dcterms:modified xsi:type="dcterms:W3CDTF">2025-09-16T01:22:42Z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73F63DC70FA24139913B6EDE4042C73C_13</vt:lpwstr>
  </property>
</Properties>
</file>