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769FBF">
      <w:pPr>
        <w:jc w:val="center"/>
        <w:rPr>
          <w:rStyle w:val="37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37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7"/>
          <w:rFonts w:eastAsia="仿宋_GB2312"/>
          <w:b w:val="0"/>
          <w:color w:val="auto"/>
          <w:sz w:val="32"/>
          <w:szCs w:val="32"/>
        </w:rPr>
        <w:t>（单位提名）</w:t>
      </w:r>
    </w:p>
    <w:p w14:paraId="24DB2107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960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691"/>
      </w:tblGrid>
      <w:tr w14:paraId="041AF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058EDDB1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691" w:type="dxa"/>
            <w:vAlign w:val="center"/>
          </w:tcPr>
          <w:p w14:paraId="54DB821A">
            <w:pPr>
              <w:jc w:val="center"/>
              <w:rPr>
                <w:rStyle w:val="37"/>
                <w:rFonts w:eastAsia="仿宋"/>
                <w:b w:val="0"/>
                <w:bCs w:val="0"/>
                <w:color w:val="auto"/>
              </w:rPr>
            </w:pPr>
            <w:r>
              <w:rPr>
                <w:rStyle w:val="37"/>
                <w:rFonts w:eastAsia="仿宋"/>
                <w:b w:val="0"/>
                <w:bCs w:val="0"/>
                <w:color w:val="auto"/>
              </w:rPr>
              <w:t>新型CAR-T/NK细胞研发和治疗难治/复发B淋巴瘤的临床</w:t>
            </w:r>
            <w:r>
              <w:rPr>
                <w:rStyle w:val="37"/>
                <w:rFonts w:hint="eastAsia" w:eastAsia="仿宋"/>
                <w:b w:val="0"/>
                <w:bCs w:val="0"/>
                <w:color w:val="auto"/>
              </w:rPr>
              <w:t>转化</w:t>
            </w:r>
          </w:p>
        </w:tc>
      </w:tr>
      <w:tr w14:paraId="61E09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9" w:type="dxa"/>
            <w:vAlign w:val="center"/>
          </w:tcPr>
          <w:p w14:paraId="1ABA6D1B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691" w:type="dxa"/>
            <w:vAlign w:val="center"/>
          </w:tcPr>
          <w:p w14:paraId="7CF86FA9">
            <w:pPr>
              <w:jc w:val="center"/>
              <w:rPr>
                <w:rStyle w:val="37"/>
                <w:rFonts w:hint="eastAsia" w:ascii="仿宋" w:hAnsi="仿宋" w:eastAsia="仿宋" w:cs="仿宋"/>
                <w:b w:val="0"/>
                <w:bCs w:val="0"/>
                <w:color w:val="auto"/>
              </w:rPr>
            </w:pPr>
            <w:r>
              <w:rPr>
                <w:rStyle w:val="37"/>
                <w:rFonts w:hint="eastAsia" w:ascii="仿宋" w:hAnsi="仿宋" w:eastAsia="仿宋" w:cs="仿宋"/>
                <w:b w:val="0"/>
                <w:bCs w:val="0"/>
                <w:color w:val="auto"/>
              </w:rPr>
              <w:t>一等奖</w:t>
            </w:r>
          </w:p>
        </w:tc>
      </w:tr>
      <w:tr w14:paraId="27471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9" w:hRule="atLeast"/>
        </w:trPr>
        <w:tc>
          <w:tcPr>
            <w:tcW w:w="2269" w:type="dxa"/>
            <w:vAlign w:val="center"/>
          </w:tcPr>
          <w:p w14:paraId="7F47D139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01327C09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691" w:type="dxa"/>
            <w:vAlign w:val="center"/>
          </w:tcPr>
          <w:p w14:paraId="1CD4B597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见附件</w:t>
            </w:r>
          </w:p>
        </w:tc>
      </w:tr>
      <w:tr w14:paraId="353D54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CF6107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691" w:type="dxa"/>
            <w:tcBorders>
              <w:left w:val="single" w:color="auto" w:sz="4" w:space="0"/>
            </w:tcBorders>
            <w:vAlign w:val="center"/>
          </w:tcPr>
          <w:p w14:paraId="36E22861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钱文斌，排名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1</w:t>
            </w:r>
            <w:r>
              <w:rPr>
                <w:rFonts w:hint="eastAsia" w:eastAsia="仿宋_GB2312"/>
                <w:bCs/>
                <w:szCs w:val="21"/>
              </w:rPr>
              <w:t>，主任医师，浙江大学医学院附属第二医院；</w:t>
            </w:r>
          </w:p>
          <w:p w14:paraId="1D33DCFE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雷文，排名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2</w:t>
            </w:r>
            <w:r>
              <w:rPr>
                <w:rFonts w:hint="eastAsia" w:eastAsia="仿宋_GB2312"/>
                <w:bCs/>
                <w:szCs w:val="21"/>
              </w:rPr>
              <w:t>，助理研究员，浙江大学医学院附属第二医院</w:t>
            </w:r>
          </w:p>
          <w:p w14:paraId="69B1C840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刘辉，排名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3</w:t>
            </w:r>
            <w:r>
              <w:rPr>
                <w:rFonts w:hint="eastAsia" w:eastAsia="仿宋_GB2312"/>
                <w:bCs/>
                <w:szCs w:val="21"/>
              </w:rPr>
              <w:t>，主任医师，浙江大学医学院附属第二医院；</w:t>
            </w:r>
          </w:p>
          <w:p w14:paraId="645C2021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邓文海，排名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4</w:t>
            </w:r>
            <w:r>
              <w:rPr>
                <w:rFonts w:hint="eastAsia" w:eastAsia="仿宋_GB2312"/>
                <w:bCs/>
                <w:szCs w:val="21"/>
              </w:rPr>
              <w:t>，助理研究员，温州医科大学；</w:t>
            </w:r>
          </w:p>
          <w:p w14:paraId="3D498CDF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梁赟，排名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5</w:t>
            </w:r>
            <w:r>
              <w:rPr>
                <w:rFonts w:hint="eastAsia" w:eastAsia="仿宋_GB2312"/>
                <w:bCs/>
                <w:szCs w:val="21"/>
              </w:rPr>
              <w:t>，主任医师，浙江大学医学院附属第二医院；</w:t>
            </w:r>
          </w:p>
          <w:p w14:paraId="49AE1CA8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郭珊珊，排名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6</w:t>
            </w:r>
            <w:r>
              <w:rPr>
                <w:rFonts w:hint="eastAsia" w:eastAsia="仿宋_GB2312"/>
                <w:bCs/>
                <w:szCs w:val="21"/>
              </w:rPr>
              <w:t>，主管医师，浙江大学医学院附属第二医院；</w:t>
            </w:r>
          </w:p>
          <w:p w14:paraId="378E241C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徐旸，排名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7</w:t>
            </w:r>
            <w:r>
              <w:rPr>
                <w:rFonts w:hint="eastAsia" w:eastAsia="仿宋_GB2312"/>
                <w:bCs/>
                <w:szCs w:val="21"/>
              </w:rPr>
              <w:t>，主任医师，浙江大学医学院附属第二医院；</w:t>
            </w:r>
          </w:p>
          <w:p w14:paraId="630C2029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肖希斌，排名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8</w:t>
            </w:r>
            <w:r>
              <w:rPr>
                <w:rFonts w:hint="eastAsia" w:eastAsia="仿宋_GB2312"/>
                <w:bCs/>
                <w:szCs w:val="21"/>
              </w:rPr>
              <w:t>，主任医师，浙江大学医学院附属第二医院；</w:t>
            </w:r>
          </w:p>
          <w:p w14:paraId="633AA480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赵爱琪，排名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9</w:t>
            </w:r>
            <w:r>
              <w:rPr>
                <w:rFonts w:hint="eastAsia" w:eastAsia="仿宋_GB2312"/>
                <w:bCs/>
                <w:szCs w:val="21"/>
              </w:rPr>
              <w:t>，副主任医师，浙江大学医学院附属第二医院；</w:t>
            </w:r>
          </w:p>
          <w:p w14:paraId="5BC5BA02">
            <w:pPr>
              <w:spacing w:line="240" w:lineRule="auto"/>
              <w:rPr>
                <w:rFonts w:eastAsia="仿宋_GB2312"/>
                <w:bCs/>
                <w:szCs w:val="21"/>
              </w:rPr>
            </w:pPr>
            <w:r>
              <w:rPr>
                <w:rFonts w:hint="eastAsia" w:eastAsia="仿宋_GB2312"/>
                <w:bCs/>
                <w:szCs w:val="21"/>
              </w:rPr>
              <w:t>叶倩，排名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10</w:t>
            </w:r>
            <w:r>
              <w:rPr>
                <w:rFonts w:hint="eastAsia" w:eastAsia="仿宋_GB2312"/>
                <w:bCs/>
                <w:szCs w:val="21"/>
              </w:rPr>
              <w:t>，副研究员，杭州荣谷生物科技有限公司；</w:t>
            </w:r>
          </w:p>
          <w:p w14:paraId="4B7DD410">
            <w:pPr>
              <w:spacing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Cs w:val="21"/>
              </w:rPr>
              <w:t>胡艳萍，排名</w:t>
            </w:r>
            <w:r>
              <w:rPr>
                <w:rFonts w:hint="eastAsia" w:ascii="Cambria" w:hAnsi="Cambria" w:eastAsia="仿宋_GB2312"/>
                <w:bCs/>
                <w:szCs w:val="21"/>
              </w:rPr>
              <w:t>11</w:t>
            </w:r>
            <w:r>
              <w:rPr>
                <w:rFonts w:hint="eastAsia" w:eastAsia="仿宋_GB2312"/>
                <w:bCs/>
                <w:szCs w:val="21"/>
              </w:rPr>
              <w:t>，初级，杭州荣谷生物科技有限公司；</w:t>
            </w:r>
          </w:p>
        </w:tc>
      </w:tr>
      <w:tr w14:paraId="13245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0CEE5199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主要完成单位</w:t>
            </w:r>
          </w:p>
        </w:tc>
        <w:tc>
          <w:tcPr>
            <w:tcW w:w="6691" w:type="dxa"/>
            <w:tcBorders>
              <w:left w:val="single" w:color="auto" w:sz="4" w:space="0"/>
            </w:tcBorders>
            <w:vAlign w:val="center"/>
          </w:tcPr>
          <w:p w14:paraId="2DBD18D9">
            <w:pPr>
              <w:spacing w:line="240" w:lineRule="auto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1.单位名称：浙江大学医学院附属第二医院</w:t>
            </w:r>
          </w:p>
          <w:p w14:paraId="4A6F147F">
            <w:pPr>
              <w:spacing w:line="240" w:lineRule="auto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2.单位名称：温州医科大学</w:t>
            </w:r>
          </w:p>
          <w:p w14:paraId="227239E9">
            <w:pPr>
              <w:spacing w:line="240" w:lineRule="auto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3.单位名称：杭州荣谷生物科技有限公司</w:t>
            </w:r>
          </w:p>
        </w:tc>
      </w:tr>
      <w:tr w14:paraId="3C2CA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2269" w:type="dxa"/>
            <w:vAlign w:val="center"/>
          </w:tcPr>
          <w:p w14:paraId="742DF714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691" w:type="dxa"/>
            <w:vAlign w:val="center"/>
          </w:tcPr>
          <w:p w14:paraId="226C9F6C">
            <w:pPr>
              <w:contextualSpacing/>
              <w:jc w:val="center"/>
              <w:rPr>
                <w:rStyle w:val="37"/>
                <w:b w:val="0"/>
                <w:color w:val="auto"/>
              </w:rPr>
            </w:pPr>
            <w:r>
              <w:rPr>
                <w:rFonts w:eastAsia="仿宋_GB2312"/>
                <w:sz w:val="24"/>
                <w:szCs w:val="24"/>
              </w:rPr>
              <w:t>浙江大学</w:t>
            </w:r>
          </w:p>
        </w:tc>
      </w:tr>
      <w:tr w14:paraId="56DF0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191FFA4F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691" w:type="dxa"/>
            <w:vAlign w:val="center"/>
          </w:tcPr>
          <w:p w14:paraId="3026D3F8">
            <w:pPr>
              <w:spacing w:after="0" w:line="360" w:lineRule="auto"/>
              <w:ind w:firstLine="420" w:firstLineChars="200"/>
              <w:contextualSpacing/>
              <w:rPr>
                <w:rFonts w:eastAsia="仿宋"/>
                <w:bCs/>
                <w:szCs w:val="21"/>
              </w:rPr>
            </w:pPr>
            <w:r>
              <w:rPr>
                <w:rFonts w:hint="eastAsia" w:eastAsia="仿宋"/>
                <w:bCs/>
                <w:szCs w:val="21"/>
              </w:rPr>
              <w:t>本项目由浙江大学牵头，与温州医科大学、杭州荣谷生物科技有限公司共同完成，聚焦难治复发B细胞淋巴瘤CAR-T疗法“复发耐药率高、毒副反应复杂、可及性差”三大瓶颈，开展了系统的创新研究与临床转化。在国家和省科研计划支持下，历时七年，取得多项国际首创成果。</w:t>
            </w:r>
          </w:p>
          <w:p w14:paraId="5C9EB0ED">
            <w:pPr>
              <w:spacing w:after="0" w:line="360" w:lineRule="auto"/>
              <w:rPr>
                <w:rFonts w:eastAsia="仿宋"/>
                <w:bCs/>
                <w:szCs w:val="21"/>
              </w:rPr>
            </w:pPr>
            <w:r>
              <w:rPr>
                <w:rFonts w:ascii="Cambria Math" w:hAnsi="Cambria Math" w:eastAsia="仿宋" w:cs="Cambria Math"/>
                <w:b/>
                <w:szCs w:val="21"/>
              </w:rPr>
              <w:t>①</w:t>
            </w:r>
            <w:r>
              <w:rPr>
                <w:rFonts w:eastAsia="仿宋"/>
                <w:b/>
                <w:szCs w:val="21"/>
              </w:rPr>
              <w:t>突破CAR-T耐药瓶颈。</w:t>
            </w:r>
            <w:r>
              <w:rPr>
                <w:rFonts w:eastAsia="仿宋"/>
                <w:bCs/>
                <w:szCs w:val="21"/>
              </w:rPr>
              <w:t>构建</w:t>
            </w:r>
            <w:r>
              <w:rPr>
                <w:rFonts w:hint="eastAsia" w:eastAsia="仿宋"/>
                <w:bCs/>
                <w:szCs w:val="21"/>
              </w:rPr>
              <w:t>了</w:t>
            </w:r>
            <w:r>
              <w:rPr>
                <w:rFonts w:eastAsia="仿宋"/>
                <w:bCs/>
                <w:szCs w:val="21"/>
              </w:rPr>
              <w:t>3种第四代“装甲型”CAR-T（PD-1/CD28嵌合受体、IL-7/CCL19 CAR-T、CD27-BCMA CAR-T），完成临床前研究</w:t>
            </w:r>
            <w:r>
              <w:rPr>
                <w:rFonts w:hint="eastAsia" w:eastAsia="仿宋"/>
                <w:bCs/>
                <w:szCs w:val="21"/>
              </w:rPr>
              <w:t>；</w:t>
            </w:r>
            <w:r>
              <w:rPr>
                <w:rFonts w:eastAsia="仿宋"/>
                <w:bCs/>
                <w:szCs w:val="21"/>
              </w:rPr>
              <w:t>通过单中心和多中心临床试验，首次验证其多途径克服耐药、显著提高疗效。建立了新靶点CAR结构</w:t>
            </w:r>
            <w:r>
              <w:rPr>
                <w:rFonts w:hint="eastAsia" w:eastAsia="仿宋"/>
                <w:bCs/>
                <w:szCs w:val="21"/>
              </w:rPr>
              <w:t>和表观、</w:t>
            </w:r>
            <w:r>
              <w:rPr>
                <w:rFonts w:eastAsia="仿宋"/>
                <w:bCs/>
                <w:szCs w:val="21"/>
              </w:rPr>
              <w:t>肿瘤微环境</w:t>
            </w:r>
            <w:r>
              <w:rPr>
                <w:rFonts w:hint="eastAsia" w:eastAsia="仿宋"/>
                <w:bCs/>
                <w:szCs w:val="21"/>
              </w:rPr>
              <w:t>调控</w:t>
            </w:r>
            <w:r>
              <w:rPr>
                <w:rFonts w:eastAsia="仿宋"/>
                <w:bCs/>
                <w:szCs w:val="21"/>
              </w:rPr>
              <w:t>等新策略，为解决耐药提供新思路。</w:t>
            </w:r>
          </w:p>
          <w:p w14:paraId="4EF65A26">
            <w:pPr>
              <w:spacing w:after="0" w:line="360" w:lineRule="auto"/>
              <w:rPr>
                <w:rFonts w:eastAsia="仿宋"/>
              </w:rPr>
            </w:pPr>
            <w:r>
              <w:rPr>
                <w:rStyle w:val="19"/>
                <w:rFonts w:ascii="Cambria Math" w:hAnsi="Cambria Math" w:eastAsia="仿宋" w:cs="Cambria Math"/>
              </w:rPr>
              <w:t>②</w:t>
            </w:r>
            <w:r>
              <w:rPr>
                <w:rStyle w:val="19"/>
                <w:rFonts w:eastAsia="仿宋"/>
              </w:rPr>
              <w:t>创建通用型CAR-T/NK疗法体系。</w:t>
            </w:r>
            <w:r>
              <w:rPr>
                <w:rFonts w:hint="eastAsia" w:eastAsia="仿宋"/>
              </w:rPr>
              <w:t>建立了以</w:t>
            </w:r>
            <w:r>
              <w:rPr>
                <w:rFonts w:eastAsia="仿宋"/>
              </w:rPr>
              <w:t>新型慢病毒载体、滋养扩增体系和4-1BB/IL-15结构的CAR-NK</w:t>
            </w:r>
            <w:r>
              <w:rPr>
                <w:rFonts w:hint="eastAsia" w:eastAsia="仿宋"/>
              </w:rPr>
              <w:t>技术</w:t>
            </w:r>
            <w:r>
              <w:rPr>
                <w:rFonts w:eastAsia="仿宋"/>
              </w:rPr>
              <w:t>平台，在国际上首次</w:t>
            </w:r>
            <w:r>
              <w:rPr>
                <w:rFonts w:hint="eastAsia" w:eastAsia="仿宋"/>
              </w:rPr>
              <w:t>从</w:t>
            </w:r>
            <w:r>
              <w:rPr>
                <w:rFonts w:eastAsia="仿宋"/>
              </w:rPr>
              <w:t>临床</w:t>
            </w:r>
            <w:r>
              <w:rPr>
                <w:rFonts w:hint="eastAsia" w:eastAsia="仿宋"/>
              </w:rPr>
              <w:t>层面</w:t>
            </w:r>
            <w:r>
              <w:rPr>
                <w:rFonts w:eastAsia="仿宋"/>
              </w:rPr>
              <w:t>验证</w:t>
            </w:r>
            <w:r>
              <w:rPr>
                <w:rFonts w:hint="eastAsia" w:eastAsia="仿宋"/>
              </w:rPr>
              <w:t>其</w:t>
            </w:r>
            <w:r>
              <w:rPr>
                <w:rFonts w:eastAsia="仿宋"/>
              </w:rPr>
              <w:t>有效性与安全性，</w:t>
            </w:r>
            <w:r>
              <w:rPr>
                <w:rFonts w:hint="eastAsia" w:eastAsia="仿宋"/>
              </w:rPr>
              <w:t>疗效</w:t>
            </w:r>
            <w:r>
              <w:rPr>
                <w:rFonts w:eastAsia="仿宋"/>
              </w:rPr>
              <w:t>优于</w:t>
            </w:r>
            <w:r>
              <w:rPr>
                <w:rFonts w:hint="eastAsia" w:eastAsia="仿宋"/>
              </w:rPr>
              <w:t>美国</w:t>
            </w:r>
            <w:r>
              <w:rPr>
                <w:rFonts w:eastAsia="仿宋"/>
              </w:rPr>
              <w:t>MD安德森脐血CAR-NK和华盛顿大学iPSC-CAR-NK。单细胞测序揭示糖酵解、核糖体和抗原递呈基因富集与缓解相关，泛素化通路与耐药相关；发现E3连接酶CBLB高表达与免疫抑制和耐药相关，提出CAR-NK与机体免疫细胞交互作用新理论。</w:t>
            </w:r>
            <w:r>
              <w:rPr>
                <w:rFonts w:hint="eastAsia" w:eastAsia="仿宋"/>
              </w:rPr>
              <w:t>国际上首先报道</w:t>
            </w:r>
            <w:r>
              <w:rPr>
                <w:rFonts w:eastAsia="仿宋"/>
              </w:rPr>
              <w:t>通用型“双阴性”CAR-T</w:t>
            </w:r>
            <w:r>
              <w:rPr>
                <w:rFonts w:hint="eastAsia" w:eastAsia="仿宋"/>
              </w:rPr>
              <w:t>的安全性和有效性</w:t>
            </w:r>
            <w:r>
              <w:rPr>
                <w:rFonts w:eastAsia="仿宋"/>
              </w:rPr>
              <w:t>。</w:t>
            </w:r>
          </w:p>
          <w:p w14:paraId="5BED4CC7">
            <w:pPr>
              <w:spacing w:after="0" w:line="360" w:lineRule="auto"/>
              <w:rPr>
                <w:rFonts w:eastAsia="仿宋"/>
              </w:rPr>
            </w:pPr>
            <w:r>
              <w:rPr>
                <w:rFonts w:ascii="Cambria Math" w:hAnsi="Cambria Math" w:eastAsia="仿宋" w:cs="Cambria Math"/>
                <w:b/>
                <w:bCs/>
              </w:rPr>
              <w:t>③</w:t>
            </w:r>
            <w:r>
              <w:rPr>
                <w:rFonts w:eastAsia="仿宋"/>
                <w:b/>
                <w:bCs/>
              </w:rPr>
              <w:t>建立</w:t>
            </w:r>
            <w:r>
              <w:rPr>
                <w:rFonts w:hint="eastAsia" w:eastAsia="仿宋"/>
                <w:b/>
                <w:bCs/>
              </w:rPr>
              <w:t>多种</w:t>
            </w:r>
            <w:r>
              <w:rPr>
                <w:rFonts w:eastAsia="仿宋"/>
                <w:b/>
                <w:bCs/>
              </w:rPr>
              <w:t>毒副反应管理</w:t>
            </w:r>
            <w:r>
              <w:rPr>
                <w:rFonts w:hint="eastAsia" w:eastAsia="仿宋"/>
                <w:b/>
                <w:bCs/>
              </w:rPr>
              <w:t>和应对策略</w:t>
            </w:r>
            <w:r>
              <w:rPr>
                <w:rFonts w:eastAsia="仿宋"/>
                <w:b/>
                <w:bCs/>
              </w:rPr>
              <w:t>。</w:t>
            </w:r>
            <w:r>
              <w:rPr>
                <w:rFonts w:eastAsia="仿宋"/>
              </w:rPr>
              <w:t>系统研究</w:t>
            </w:r>
            <w:r>
              <w:rPr>
                <w:rFonts w:hint="eastAsia" w:eastAsia="仿宋"/>
              </w:rPr>
              <w:t>了</w:t>
            </w:r>
            <w:r>
              <w:rPr>
                <w:rFonts w:eastAsia="仿宋"/>
              </w:rPr>
              <w:t>CAR-T后HBV再激活、带状疱疹、新冠感染及继发肿瘤</w:t>
            </w:r>
            <w:r>
              <w:rPr>
                <w:rFonts w:hint="eastAsia" w:eastAsia="仿宋"/>
              </w:rPr>
              <w:t>临床特点</w:t>
            </w:r>
            <w:r>
              <w:rPr>
                <w:rFonts w:eastAsia="仿宋"/>
              </w:rPr>
              <w:t>；牵头制定多项中国专家共识与指南，推动临床应用规范化。</w:t>
            </w:r>
          </w:p>
          <w:p w14:paraId="4B780830">
            <w:pPr>
              <w:spacing w:line="360" w:lineRule="auto"/>
              <w:ind w:firstLine="420" w:firstLineChars="200"/>
              <w:contextualSpacing/>
              <w:rPr>
                <w:rFonts w:eastAsia="仿宋"/>
                <w:bCs/>
              </w:rPr>
            </w:pPr>
            <w:r>
              <w:rPr>
                <w:rFonts w:eastAsia="仿宋"/>
              </w:rPr>
              <w:t>项目已获国家发明专利7项，发表论文38篇，其中SCI</w:t>
            </w:r>
            <w:r>
              <w:rPr>
                <w:rFonts w:hint="eastAsia" w:eastAsia="仿宋"/>
              </w:rPr>
              <w:t>论文</w:t>
            </w:r>
            <w:r>
              <w:rPr>
                <w:rFonts w:eastAsia="仿宋"/>
              </w:rPr>
              <w:t>31篇，</w:t>
            </w:r>
            <w:r>
              <w:rPr>
                <w:rFonts w:hint="eastAsia" w:eastAsia="仿宋"/>
              </w:rPr>
              <w:t>包括</w:t>
            </w:r>
            <w:r>
              <w:rPr>
                <w:rStyle w:val="21"/>
                <w:rFonts w:eastAsia="仿宋"/>
              </w:rPr>
              <w:t>Nature Cancer</w:t>
            </w:r>
            <w:r>
              <w:rPr>
                <w:rFonts w:eastAsia="仿宋"/>
              </w:rPr>
              <w:t>、</w:t>
            </w:r>
            <w:r>
              <w:rPr>
                <w:rStyle w:val="21"/>
                <w:rFonts w:eastAsia="仿宋"/>
              </w:rPr>
              <w:t>Cell Discovery</w:t>
            </w:r>
            <w:r>
              <w:rPr>
                <w:rFonts w:eastAsia="仿宋"/>
              </w:rPr>
              <w:t>、</w:t>
            </w:r>
            <w:r>
              <w:rPr>
                <w:rStyle w:val="21"/>
                <w:rFonts w:eastAsia="仿宋"/>
              </w:rPr>
              <w:t>Clinical Cancer Research</w:t>
            </w:r>
            <w:r>
              <w:rPr>
                <w:rFonts w:eastAsia="仿宋"/>
              </w:rPr>
              <w:t xml:space="preserve">和 </w:t>
            </w:r>
            <w:r>
              <w:rPr>
                <w:rStyle w:val="21"/>
                <w:rFonts w:eastAsia="仿宋"/>
              </w:rPr>
              <w:t>Leukemia</w:t>
            </w:r>
            <w:r>
              <w:rPr>
                <w:rFonts w:eastAsia="仿宋"/>
              </w:rPr>
              <w:t xml:space="preserve"> 等国际权威期刊</w:t>
            </w:r>
            <w:r>
              <w:rPr>
                <w:rFonts w:hint="eastAsia" w:eastAsia="仿宋"/>
              </w:rPr>
              <w:t>。</w:t>
            </w:r>
            <w:r>
              <w:rPr>
                <w:rFonts w:eastAsia="仿宋"/>
              </w:rPr>
              <w:t>成果在浙江、上海、江苏、四川等10余家三甲医院推广应用，建成CAR-T/NK GMP生产体系，</w:t>
            </w:r>
            <w:r>
              <w:rPr>
                <w:rFonts w:hint="eastAsia" w:eastAsia="仿宋"/>
              </w:rPr>
              <w:t>有力地</w:t>
            </w:r>
            <w:r>
              <w:rPr>
                <w:rFonts w:eastAsia="仿宋"/>
              </w:rPr>
              <w:t>推动</w:t>
            </w:r>
            <w:r>
              <w:rPr>
                <w:rFonts w:hint="eastAsia" w:eastAsia="仿宋"/>
              </w:rPr>
              <w:t>了</w:t>
            </w:r>
            <w:r>
              <w:rPr>
                <w:rFonts w:eastAsia="仿宋"/>
              </w:rPr>
              <w:t>成果</w:t>
            </w:r>
            <w:r>
              <w:rPr>
                <w:rFonts w:hint="eastAsia" w:eastAsia="仿宋"/>
              </w:rPr>
              <w:t>的</w:t>
            </w:r>
            <w:r>
              <w:rPr>
                <w:rFonts w:eastAsia="仿宋"/>
              </w:rPr>
              <w:t>临床落地与产业化</w:t>
            </w:r>
            <w:r>
              <w:rPr>
                <w:rFonts w:hint="eastAsia" w:eastAsia="仿宋"/>
              </w:rPr>
              <w:t>。</w:t>
            </w:r>
            <w:r>
              <w:rPr>
                <w:rFonts w:eastAsia="仿宋"/>
              </w:rPr>
              <w:t>用，建成CAR-T/NK GMP生产体系，推动成果临床落地与产业化</w:t>
            </w:r>
          </w:p>
        </w:tc>
      </w:tr>
    </w:tbl>
    <w:p w14:paraId="44276572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47B5329B">
      <w:pPr>
        <w:spacing w:line="440" w:lineRule="exact"/>
        <w:jc w:val="center"/>
        <w:rPr>
          <w:rFonts w:ascii="Cambria" w:hAnsi="Cambria" w:eastAsia="仿宋_GB2312"/>
          <w:sz w:val="32"/>
          <w:szCs w:val="32"/>
        </w:rPr>
        <w:sectPr>
          <w:pgSz w:w="12242" w:h="15842"/>
          <w:pgMar w:top="1247" w:right="1134" w:bottom="1247" w:left="1418" w:header="851" w:footer="794" w:gutter="0"/>
          <w:cols w:space="720" w:num="1"/>
          <w:docGrid w:linePitch="286" w:charSpace="0"/>
        </w:sectPr>
      </w:pPr>
    </w:p>
    <w:p w14:paraId="27013F50">
      <w:pPr>
        <w:spacing w:line="440" w:lineRule="exact"/>
        <w:jc w:val="center"/>
        <w:rPr>
          <w:rFonts w:ascii="Cambria" w:hAnsi="Cambria" w:eastAsia="仿宋_GB2312"/>
          <w:sz w:val="32"/>
          <w:szCs w:val="32"/>
        </w:rPr>
      </w:pPr>
    </w:p>
    <w:p w14:paraId="0BCF1502">
      <w:pPr>
        <w:spacing w:line="440" w:lineRule="exact"/>
        <w:jc w:val="left"/>
      </w:pPr>
      <w:r>
        <w:rPr>
          <w:rFonts w:hint="eastAsia" w:ascii="Cambria" w:hAnsi="Cambria" w:eastAsia="仿宋_GB2312"/>
          <w:sz w:val="28"/>
          <w:szCs w:val="28"/>
        </w:rPr>
        <w:t>附：</w:t>
      </w:r>
      <w:r>
        <w:rPr>
          <w:rFonts w:eastAsia="仿宋_GB2312"/>
          <w:bCs/>
          <w:sz w:val="28"/>
          <w:szCs w:val="24"/>
        </w:rPr>
        <w:t>提名书相关内容</w:t>
      </w:r>
      <w:r>
        <w:rPr>
          <w:rFonts w:hint="eastAsia" w:eastAsia="仿宋_GB2312"/>
          <w:bCs/>
          <w:sz w:val="28"/>
          <w:szCs w:val="24"/>
        </w:rPr>
        <w:t>：科技进步奖</w:t>
      </w:r>
    </w:p>
    <w:p w14:paraId="34A4B930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七、主要知识产权和标准规范目录</w:t>
      </w:r>
    </w:p>
    <w:tbl>
      <w:tblPr>
        <w:tblStyle w:val="16"/>
        <w:tblW w:w="145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577"/>
        <w:gridCol w:w="992"/>
        <w:gridCol w:w="1655"/>
        <w:gridCol w:w="1121"/>
        <w:gridCol w:w="1305"/>
        <w:gridCol w:w="1813"/>
        <w:gridCol w:w="1615"/>
        <w:gridCol w:w="2215"/>
      </w:tblGrid>
      <w:tr w14:paraId="4EB72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1417A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6419B365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040DD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4F83B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5D03CF91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EC93C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61BB01A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B2B1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1EF055B7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051510D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3ED4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21DF0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7135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F03F2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4F758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D2C06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8EBDD0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功能增强型CAR-NK细胞、其制备方法及其在免疫疗法中的应用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14DA62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ACB53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ZL202310813583.9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71462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2023-07-04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5B64A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第7195321号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6F01B0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杭州荣谷生物技术有限公司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07762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color w:val="000000"/>
                <w:szCs w:val="21"/>
              </w:rPr>
              <w:t>叶倩、胡艳萍、陈洁、陈洁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10B827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有效</w:t>
            </w:r>
          </w:p>
        </w:tc>
      </w:tr>
      <w:tr w14:paraId="3DD57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96087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38F88E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CD70 纳米抗体和双靶向嵌合抗原受体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42D71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FF0F6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ZL202310907278.6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BEDF3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2023-07-21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646249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第7398463号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1B70A6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杭州荣谷生物技术有限公司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BD59E3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叶倩、胡艳萍、陈洁、陈杰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2E1B2E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有效</w:t>
            </w:r>
          </w:p>
        </w:tc>
      </w:tr>
      <w:tr w14:paraId="188D2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E016F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9B6D8">
            <w:pPr>
              <w:rPr>
                <w:rFonts w:eastAsia="仿宋"/>
                <w:color w:val="000000"/>
                <w:kern w:val="0"/>
                <w:szCs w:val="21"/>
                <w:lang w:bidi="ar"/>
              </w:rPr>
            </w:pPr>
            <w:r>
              <w:rPr>
                <w:rFonts w:eastAsia="仿宋"/>
                <w:szCs w:val="21"/>
              </w:rPr>
              <w:t>一种峰驼源噬菌体展示纳米抗体的构建方法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186D29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09EEC">
            <w:pPr>
              <w:rPr>
                <w:rFonts w:eastAsia="仿宋"/>
                <w:color w:val="000000"/>
                <w:kern w:val="0"/>
                <w:szCs w:val="21"/>
                <w:lang w:bidi="ar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ZL202210340059.X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7DCC8E">
            <w:pPr>
              <w:rPr>
                <w:rFonts w:eastAsia="仿宋"/>
                <w:color w:val="000000"/>
                <w:kern w:val="0"/>
                <w:szCs w:val="21"/>
                <w:lang w:bidi="ar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2023-01-03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1D3122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第5678706号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F2E57B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杭州荣谷生物技术有限公司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5A6A8A">
            <w:pPr>
              <w:rPr>
                <w:rFonts w:eastAsia="仿宋"/>
                <w:color w:val="000000"/>
                <w:kern w:val="0"/>
                <w:szCs w:val="21"/>
                <w:lang w:bidi="ar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钱文斌、叶倩、王世兵、陈洁、徐云飞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B5F538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有效</w:t>
            </w:r>
          </w:p>
        </w:tc>
      </w:tr>
      <w:tr w14:paraId="57A27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8C25B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名家谈诊疗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514A4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我如何开展CD19 CAR-T细胞治疗难治复发B细胞淋巴瘤患者的全程管理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5D3E3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E6C0E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0253-2727.2022.03.003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B41E98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2022-3-14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667F6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中华血液学杂志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CF31CB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color w:val="000000"/>
                <w:kern w:val="0"/>
                <w:szCs w:val="21"/>
                <w:lang w:bidi="ar"/>
              </w:rPr>
              <w:t>浙江大学医学院附属第二医院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B60206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刘辉，钱文斌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7892BF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有效</w:t>
            </w:r>
          </w:p>
        </w:tc>
      </w:tr>
    </w:tbl>
    <w:p w14:paraId="0F046B98">
      <w:pPr>
        <w:rPr>
          <w:rFonts w:eastAsia="黑体"/>
          <w:sz w:val="32"/>
          <w:szCs w:val="32"/>
        </w:rPr>
      </w:pPr>
    </w:p>
    <w:p w14:paraId="71F01EC7">
      <w:pPr>
        <w:spacing w:before="100" w:beforeAutospacing="1" w:after="100" w:afterAutospacing="1"/>
        <w:rPr>
          <w:rFonts w:eastAsia="黑体"/>
          <w:kern w:val="0"/>
          <w:sz w:val="32"/>
          <w:szCs w:val="32"/>
        </w:rPr>
        <w:sectPr>
          <w:pgSz w:w="15842" w:h="12242" w:orient="landscape"/>
          <w:pgMar w:top="1418" w:right="1247" w:bottom="1134" w:left="1247" w:header="851" w:footer="794" w:gutter="0"/>
          <w:cols w:space="720" w:num="1"/>
          <w:docGrid w:linePitch="286" w:charSpace="0"/>
        </w:sectPr>
      </w:pPr>
    </w:p>
    <w:p w14:paraId="3B79F89D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八、代表性论文专著目录</w:t>
      </w:r>
    </w:p>
    <w:tbl>
      <w:tblPr>
        <w:tblStyle w:val="16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3571"/>
        <w:gridCol w:w="963"/>
        <w:gridCol w:w="993"/>
        <w:gridCol w:w="850"/>
      </w:tblGrid>
      <w:tr w14:paraId="5D9E83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1718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36398">
            <w:pPr>
              <w:spacing w:line="24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 者</w:t>
            </w:r>
          </w:p>
        </w:tc>
        <w:tc>
          <w:tcPr>
            <w:tcW w:w="357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09FC7">
            <w:pPr>
              <w:spacing w:line="24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论文专著名称/刊物</w:t>
            </w:r>
          </w:p>
        </w:tc>
        <w:tc>
          <w:tcPr>
            <w:tcW w:w="96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E5BCD">
            <w:pPr>
              <w:spacing w:line="24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1AE49E64">
            <w:pPr>
              <w:spacing w:line="240" w:lineRule="auto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D30C7">
            <w:pPr>
              <w:spacing w:line="24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5C6522F3">
            <w:pPr>
              <w:spacing w:line="24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2EFAAA42">
            <w:pPr>
              <w:spacing w:line="24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62619E">
            <w:pPr>
              <w:spacing w:line="24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1647DAB8">
            <w:pPr>
              <w:spacing w:line="24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14:paraId="2D40BE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5C0F8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Lei W, Liu H, Deng W, Chen W, Liang Y, Gao W, Yuan X, Guo S, Li P, Wang J, Tong X, Sun YE, Liang A, </w:t>
            </w:r>
            <w:r>
              <w:rPr>
                <w:rFonts w:eastAsia="仿宋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Qian W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4E98B59F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sz w:val="18"/>
                <w:szCs w:val="18"/>
              </w:rPr>
              <w:t>Safety and feasibility of 4-1BB co-stimulated CD19-specific CAR-NK cell therapy in refractory/relapsed large B cell lymphoma: a phase 1 trial</w:t>
            </w:r>
            <w:r>
              <w:rPr>
                <w:rFonts w:hint="eastAsia" w:eastAsia="仿宋"/>
                <w:sz w:val="18"/>
                <w:szCs w:val="18"/>
              </w:rPr>
              <w:t>/</w:t>
            </w:r>
            <w:r>
              <w:rPr>
                <w:rFonts w:eastAsia="仿宋"/>
                <w:sz w:val="18"/>
                <w:szCs w:val="18"/>
              </w:rPr>
              <w:t xml:space="preserve"> Nat Cancer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C7232">
            <w:pPr>
              <w:spacing w:line="240" w:lineRule="auto"/>
              <w:rPr>
                <w:szCs w:val="21"/>
              </w:rPr>
            </w:pPr>
            <w:r>
              <w:rPr>
                <w:szCs w:val="21"/>
              </w:rPr>
              <w:t>6(5):786-800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5D568">
            <w:pPr>
              <w:spacing w:line="240" w:lineRule="auto"/>
              <w:jc w:val="left"/>
              <w:rPr>
                <w:szCs w:val="21"/>
              </w:rPr>
            </w:pPr>
            <w:r>
              <w:rPr>
                <w:szCs w:val="21"/>
              </w:rPr>
              <w:t>2025 Apr 18.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8F089">
            <w:pPr>
              <w:spacing w:line="24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  <w:tr w14:paraId="0AE01C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7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2F223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Lei W, Zhao A, Liu H, Yang C, Wei C, Guo S, Chen Z, Guo Q, Li L, Zhao M, Wu G, Ouyang G, Liu M, Zhang J, Gao J, </w:t>
            </w:r>
            <w:r>
              <w:rPr>
                <w:rFonts w:eastAsia="仿宋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Qian W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29FFD15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sz w:val="18"/>
                <w:szCs w:val="18"/>
              </w:rPr>
              <w:t>Safety and feasibility of anti-CD19 CAR T cells expressing inducible IL-7 and CCL19 in patients with relapsed or refractory large B-cell lymphoma</w:t>
            </w:r>
            <w:r>
              <w:rPr>
                <w:rFonts w:hint="eastAsia" w:eastAsia="仿宋"/>
                <w:sz w:val="18"/>
                <w:szCs w:val="18"/>
              </w:rPr>
              <w:t>/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 Cell Discov.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CFCB3">
            <w:pPr>
              <w:spacing w:line="240" w:lineRule="auto"/>
              <w:rPr>
                <w:szCs w:val="21"/>
              </w:rPr>
            </w:pPr>
            <w:r>
              <w:rPr>
                <w:szCs w:val="21"/>
              </w:rPr>
              <w:t>10(1):5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7325A">
            <w:pPr>
              <w:spacing w:line="240" w:lineRule="auto"/>
              <w:jc w:val="left"/>
              <w:rPr>
                <w:szCs w:val="21"/>
              </w:rPr>
            </w:pPr>
            <w:r>
              <w:rPr>
                <w:szCs w:val="21"/>
              </w:rPr>
              <w:t>2024 Jan</w:t>
            </w:r>
            <w:r>
              <w:rPr>
                <w:rFonts w:hint="eastAsia"/>
                <w:szCs w:val="21"/>
              </w:rPr>
              <w:t xml:space="preserve"> 9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35993">
            <w:pPr>
              <w:spacing w:line="24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</w:tr>
      <w:tr w14:paraId="0B627F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864B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Liu H, Lei W, Zhang C, Yang C, Wei J, Guo Q, Guo X, Chen Z, Lu Y, Young KH, Lu Z, </w:t>
            </w:r>
            <w:r>
              <w:rPr>
                <w:rFonts w:eastAsia="仿宋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Qian W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1DCD7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CD19-specific CAR T Cells that Express a PD-1/CD28 Chimeric Switch-Receptor are Effective in Patients with PD-L1-positive B-Cell Lymphoma</w:t>
            </w:r>
            <w:r>
              <w:rPr>
                <w:rFonts w:hint="eastAsia" w:eastAsia="仿宋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 Clin Cancer Res.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1E5AA">
            <w:pPr>
              <w:spacing w:line="240" w:lineRule="auto"/>
              <w:rPr>
                <w:szCs w:val="21"/>
              </w:rPr>
            </w:pPr>
            <w:r>
              <w:rPr>
                <w:szCs w:val="21"/>
              </w:rPr>
              <w:t>27(2):473-484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4A87D">
            <w:pPr>
              <w:spacing w:line="240" w:lineRule="auto"/>
              <w:jc w:val="left"/>
              <w:rPr>
                <w:szCs w:val="21"/>
              </w:rPr>
            </w:pPr>
            <w:r>
              <w:rPr>
                <w:szCs w:val="21"/>
              </w:rPr>
              <w:t>2021 Jan 15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B09575">
            <w:pPr>
              <w:spacing w:line="24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81</w:t>
            </w:r>
          </w:p>
        </w:tc>
      </w:tr>
      <w:tr w14:paraId="349593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D3F7E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Guo S, Lei W, Jin X, Liu H, Wang JQ, Deng W, </w:t>
            </w:r>
            <w:r>
              <w:rPr>
                <w:rFonts w:eastAsia="仿宋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Qian W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9B8C3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CD70-specific CAR NK cells expressing IL-15 for the treatment of CD19-negative B-cell malignancy</w:t>
            </w:r>
            <w:r>
              <w:rPr>
                <w:rFonts w:hint="eastAsia" w:eastAsia="仿宋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eastAsia="仿宋"/>
                <w:sz w:val="18"/>
                <w:szCs w:val="18"/>
              </w:rPr>
              <w:t xml:space="preserve"> Blood Adv.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1F193">
            <w:pPr>
              <w:spacing w:line="240" w:lineRule="auto"/>
              <w:rPr>
                <w:szCs w:val="21"/>
              </w:rPr>
            </w:pPr>
            <w:r>
              <w:rPr>
                <w:szCs w:val="21"/>
              </w:rPr>
              <w:t>8(11):2635-2645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D5AFD">
            <w:pPr>
              <w:spacing w:line="240" w:lineRule="auto"/>
              <w:jc w:val="left"/>
              <w:rPr>
                <w:szCs w:val="21"/>
              </w:rPr>
            </w:pPr>
            <w:r>
              <w:rPr>
                <w:szCs w:val="21"/>
              </w:rPr>
              <w:t>2024 Jun 11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8536E">
            <w:pPr>
              <w:spacing w:line="24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</w:tr>
      <w:tr w14:paraId="085321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E4EB3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Yang C, Xie M, Zhang K, Liu H, Liang A, Young KH, </w:t>
            </w:r>
            <w:r>
              <w:rPr>
                <w:rFonts w:eastAsia="仿宋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Qian W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7C2E0B7B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sz w:val="18"/>
                <w:szCs w:val="18"/>
              </w:rPr>
              <w:t>Risk of HBV reactivation post CD19-CAR-T cell therapy in DLBCL patients with concomitant chronic HBV infection</w:t>
            </w:r>
            <w:r>
              <w:rPr>
                <w:rFonts w:hint="eastAsia" w:eastAsia="仿宋"/>
                <w:sz w:val="18"/>
                <w:szCs w:val="18"/>
              </w:rPr>
              <w:t>/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 Leukemia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B6174">
            <w:pPr>
              <w:spacing w:line="240" w:lineRule="auto"/>
              <w:rPr>
                <w:szCs w:val="21"/>
              </w:rPr>
            </w:pPr>
            <w:r>
              <w:rPr>
                <w:szCs w:val="21"/>
              </w:rPr>
              <w:t>34(11):3055-3059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644AE">
            <w:pPr>
              <w:spacing w:line="240" w:lineRule="auto"/>
              <w:jc w:val="left"/>
              <w:rPr>
                <w:szCs w:val="21"/>
              </w:rPr>
            </w:pPr>
            <w:r>
              <w:rPr>
                <w:szCs w:val="21"/>
              </w:rPr>
              <w:t>2020 Nov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5A11F">
            <w:pPr>
              <w:spacing w:line="24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</w:tr>
      <w:tr w14:paraId="6177F6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0030B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 xml:space="preserve">Deng W, Chen P, Lei W, Xu Y, Xu N, Pu JJ, Liang A, </w:t>
            </w:r>
            <w:r>
              <w:rPr>
                <w:rFonts w:eastAsia="仿宋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Qian W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1B8ED">
            <w:pPr>
              <w:spacing w:line="240" w:lineRule="auto"/>
              <w:rPr>
                <w:szCs w:val="21"/>
              </w:rPr>
            </w:pP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CD70-targeting CAR-T cells have potential activity against CD19-negative B-cell Lymphoma</w:t>
            </w:r>
            <w:r>
              <w:rPr>
                <w:rFonts w:hint="eastAsia" w:eastAsia="仿宋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t xml:space="preserve"> </w:t>
            </w:r>
            <w:r>
              <w:rPr>
                <w:rFonts w:eastAsia="仿宋"/>
                <w:color w:val="000000"/>
                <w:kern w:val="0"/>
                <w:sz w:val="18"/>
                <w:szCs w:val="18"/>
                <w:lang w:bidi="ar"/>
              </w:rPr>
              <w:t>Cancer Commun (Lond)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046B9">
            <w:pPr>
              <w:spacing w:line="240" w:lineRule="auto"/>
              <w:rPr>
                <w:szCs w:val="21"/>
              </w:rPr>
            </w:pPr>
            <w:r>
              <w:rPr>
                <w:szCs w:val="21"/>
              </w:rPr>
              <w:t>41(9):925-929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5ECE4">
            <w:pPr>
              <w:spacing w:line="240" w:lineRule="auto"/>
              <w:jc w:val="left"/>
              <w:rPr>
                <w:szCs w:val="21"/>
              </w:rPr>
            </w:pPr>
            <w:r>
              <w:rPr>
                <w:szCs w:val="21"/>
              </w:rPr>
              <w:t>2021 Sep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DBDD2">
            <w:pPr>
              <w:spacing w:line="24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</w:tr>
      <w:tr w14:paraId="350FDD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exact"/>
          <w:jc w:val="center"/>
        </w:trPr>
        <w:tc>
          <w:tcPr>
            <w:tcW w:w="7245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D9E5E">
            <w:pPr>
              <w:spacing w:line="240" w:lineRule="auto"/>
              <w:jc w:val="right"/>
              <w:rPr>
                <w:szCs w:val="21"/>
              </w:rPr>
            </w:pPr>
            <w:r>
              <w:rPr>
                <w:szCs w:val="21"/>
              </w:rPr>
              <w:t>合  计: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1553D">
            <w:pPr>
              <w:spacing w:line="240" w:lineRule="auto"/>
              <w:ind w:right="105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</w:tr>
    </w:tbl>
    <w:p w14:paraId="76AC04BC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2EB43F9-0ABE-4D90-95AD-54EC675E208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D31E28E-AC84-4C62-AC28-CCA0A25C08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260AC12-C060-4153-B230-644267D6B88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D41F7F4-A71A-4A12-8A6A-FA9997BB42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4F4F4D-55A7-4497-8EFE-6B7B10BC771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D71626B-208D-49BA-8CB2-A91389BAFCE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71DADFF-6B30-4AFA-BC64-EAA73FF2E85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83929BF-66A8-4076-9C76-70EF77DF492E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76E0B3DA-3CFD-48A0-B689-5AE225E6DAE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4CB2823-A04B-41F2-83DB-4490D1F47646}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1" w:fontKey="{071A8EEC-1E16-4207-B4F5-008134897BE3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2" w:fontKey="{F83EF575-3AD3-4ED9-9029-C88E0B121F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7BF322FF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1FD8A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145FB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75A056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LQ0MzIyNTEztTQwNzJS0lEKTi0uzszPAykwrgUAGfviPCwAAAA="/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96288"/>
    <w:rsid w:val="00096CA9"/>
    <w:rsid w:val="000A0FE4"/>
    <w:rsid w:val="000B2E39"/>
    <w:rsid w:val="000B70B3"/>
    <w:rsid w:val="000C632A"/>
    <w:rsid w:val="000F1181"/>
    <w:rsid w:val="000F1229"/>
    <w:rsid w:val="000F2CC3"/>
    <w:rsid w:val="000F6066"/>
    <w:rsid w:val="000F6517"/>
    <w:rsid w:val="000F6B39"/>
    <w:rsid w:val="000F7732"/>
    <w:rsid w:val="001039E9"/>
    <w:rsid w:val="00104F03"/>
    <w:rsid w:val="00120B6B"/>
    <w:rsid w:val="0012430D"/>
    <w:rsid w:val="001435CC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86ACF"/>
    <w:rsid w:val="00187C61"/>
    <w:rsid w:val="00192701"/>
    <w:rsid w:val="0019371C"/>
    <w:rsid w:val="001A293A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837DB"/>
    <w:rsid w:val="0029509E"/>
    <w:rsid w:val="00296134"/>
    <w:rsid w:val="002A2925"/>
    <w:rsid w:val="002A7955"/>
    <w:rsid w:val="002B3198"/>
    <w:rsid w:val="002C0013"/>
    <w:rsid w:val="002C6803"/>
    <w:rsid w:val="002C6E65"/>
    <w:rsid w:val="002D1FA7"/>
    <w:rsid w:val="002D3BA3"/>
    <w:rsid w:val="002E42A8"/>
    <w:rsid w:val="002E43DB"/>
    <w:rsid w:val="002F1911"/>
    <w:rsid w:val="002F74D2"/>
    <w:rsid w:val="003037E9"/>
    <w:rsid w:val="0030543F"/>
    <w:rsid w:val="003063D6"/>
    <w:rsid w:val="00311F89"/>
    <w:rsid w:val="003125EF"/>
    <w:rsid w:val="00317504"/>
    <w:rsid w:val="00326352"/>
    <w:rsid w:val="00330554"/>
    <w:rsid w:val="00331B99"/>
    <w:rsid w:val="00336678"/>
    <w:rsid w:val="00340314"/>
    <w:rsid w:val="00343DF4"/>
    <w:rsid w:val="00347614"/>
    <w:rsid w:val="003541A1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863CB"/>
    <w:rsid w:val="00490582"/>
    <w:rsid w:val="004929AC"/>
    <w:rsid w:val="00492EAC"/>
    <w:rsid w:val="004A6419"/>
    <w:rsid w:val="004B13A5"/>
    <w:rsid w:val="004B531C"/>
    <w:rsid w:val="004C2337"/>
    <w:rsid w:val="004C3977"/>
    <w:rsid w:val="004D25C1"/>
    <w:rsid w:val="004D3106"/>
    <w:rsid w:val="004D55B5"/>
    <w:rsid w:val="004D67A7"/>
    <w:rsid w:val="004D7EE6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D6C3F"/>
    <w:rsid w:val="005E0059"/>
    <w:rsid w:val="005E261D"/>
    <w:rsid w:val="005E49A6"/>
    <w:rsid w:val="005E6D32"/>
    <w:rsid w:val="005F0DC8"/>
    <w:rsid w:val="005F49D6"/>
    <w:rsid w:val="00600FA4"/>
    <w:rsid w:val="006018D7"/>
    <w:rsid w:val="00605720"/>
    <w:rsid w:val="00611BDC"/>
    <w:rsid w:val="006177DC"/>
    <w:rsid w:val="00623BD2"/>
    <w:rsid w:val="00626265"/>
    <w:rsid w:val="006269F8"/>
    <w:rsid w:val="00641E0E"/>
    <w:rsid w:val="00642EBC"/>
    <w:rsid w:val="00643B2E"/>
    <w:rsid w:val="00646AD1"/>
    <w:rsid w:val="006546AC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2164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E76FD"/>
    <w:rsid w:val="007F026B"/>
    <w:rsid w:val="007F5A15"/>
    <w:rsid w:val="007F66D0"/>
    <w:rsid w:val="0080157D"/>
    <w:rsid w:val="00802DE6"/>
    <w:rsid w:val="00805021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75610"/>
    <w:rsid w:val="00890A44"/>
    <w:rsid w:val="00891DDA"/>
    <w:rsid w:val="00894724"/>
    <w:rsid w:val="008A09D1"/>
    <w:rsid w:val="008A37FE"/>
    <w:rsid w:val="008B5F0B"/>
    <w:rsid w:val="008B78AD"/>
    <w:rsid w:val="008C37F3"/>
    <w:rsid w:val="008C4526"/>
    <w:rsid w:val="008C5BE5"/>
    <w:rsid w:val="008C7FED"/>
    <w:rsid w:val="008F19B3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1B2C"/>
    <w:rsid w:val="009728CB"/>
    <w:rsid w:val="00975273"/>
    <w:rsid w:val="009764E0"/>
    <w:rsid w:val="0098148B"/>
    <w:rsid w:val="00981E42"/>
    <w:rsid w:val="00983F16"/>
    <w:rsid w:val="00984A71"/>
    <w:rsid w:val="00985B39"/>
    <w:rsid w:val="009866EC"/>
    <w:rsid w:val="0099382A"/>
    <w:rsid w:val="00994C12"/>
    <w:rsid w:val="009A3A67"/>
    <w:rsid w:val="009C546A"/>
    <w:rsid w:val="009D1070"/>
    <w:rsid w:val="009D2804"/>
    <w:rsid w:val="009D3350"/>
    <w:rsid w:val="009D66DD"/>
    <w:rsid w:val="009E192A"/>
    <w:rsid w:val="009F0766"/>
    <w:rsid w:val="009F19B6"/>
    <w:rsid w:val="009F4B40"/>
    <w:rsid w:val="00A03853"/>
    <w:rsid w:val="00A11F99"/>
    <w:rsid w:val="00A156D9"/>
    <w:rsid w:val="00A243BC"/>
    <w:rsid w:val="00A276C9"/>
    <w:rsid w:val="00A27943"/>
    <w:rsid w:val="00A31D43"/>
    <w:rsid w:val="00A36061"/>
    <w:rsid w:val="00A402C6"/>
    <w:rsid w:val="00A41DFB"/>
    <w:rsid w:val="00A5008B"/>
    <w:rsid w:val="00A65CD4"/>
    <w:rsid w:val="00A70F4C"/>
    <w:rsid w:val="00A736E3"/>
    <w:rsid w:val="00A74DFE"/>
    <w:rsid w:val="00AA0C34"/>
    <w:rsid w:val="00AA6478"/>
    <w:rsid w:val="00AA6A67"/>
    <w:rsid w:val="00AA7F12"/>
    <w:rsid w:val="00AB2670"/>
    <w:rsid w:val="00AB2B0F"/>
    <w:rsid w:val="00AC06D0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0650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1DB9"/>
    <w:rsid w:val="00C620DD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A21F2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26A5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80C85"/>
    <w:rsid w:val="00D97840"/>
    <w:rsid w:val="00DC0F80"/>
    <w:rsid w:val="00DC1C67"/>
    <w:rsid w:val="00DD7D0E"/>
    <w:rsid w:val="00DF02D4"/>
    <w:rsid w:val="00DF2AD8"/>
    <w:rsid w:val="00DF2CC1"/>
    <w:rsid w:val="00DF7FCB"/>
    <w:rsid w:val="00E00ABD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10C3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08E5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D27C4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39D48C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07B66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08A65DF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2E5F86"/>
    <w:rsid w:val="77B1FF77"/>
    <w:rsid w:val="77FD9F4D"/>
    <w:rsid w:val="785A2E96"/>
    <w:rsid w:val="78F86E3B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4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5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6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Emphasis"/>
    <w:basedOn w:val="18"/>
    <w:qFormat/>
    <w:uiPriority w:val="20"/>
    <w:rPr>
      <w:i/>
      <w:iCs/>
    </w:rPr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4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7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8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9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1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2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3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4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5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6">
    <w:name w:val="批注主题 字符"/>
    <w:basedOn w:val="30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7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9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1743</Words>
  <Characters>2992</Characters>
  <Lines>191</Lines>
  <Paragraphs>113</Paragraphs>
  <TotalTime>8</TotalTime>
  <ScaleCrop>false</ScaleCrop>
  <LinksUpToDate>false</LinksUpToDate>
  <CharactersWithSpaces>3245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2025-09-11T07:14:00Z</dcterms:created>
  <dc:creator>胡胜链</dc:creator>
  <cp:lastModifiedBy>葛格</cp:lastModifiedBy>
  <cp:lastPrinted>2022-01-28T09:53:00Z</cp:lastPrinted>
  <dcterms:modified xsi:type="dcterms:W3CDTF">2025-09-16T01:23:11Z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1E1BB209360F4A11B03B9502D6B3BD5E_13</vt:lpwstr>
  </property>
  <property fmtid="{D5CDD505-2E9C-101B-9397-08002B2CF9AE}" pid="4" name="KSOTemplateDocerSaveRecord">
    <vt:lpwstr>eyJoZGlkIjoiMGJiNjZmMTE2OTcxZjVjODE1ODcyZTAyN2U5MTQ1YjYiLCJ1c2VySWQiOiIzOTMxMzIyODEifQ==</vt:lpwstr>
  </property>
</Properties>
</file>