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209E1">
      <w:pPr>
        <w:widowControl/>
        <w:jc w:val="center"/>
        <w:rPr>
          <w:rStyle w:val="36"/>
          <w:rFonts w:eastAsia="仿宋_GB2312"/>
          <w:b w:val="0"/>
          <w:bCs w:val="0"/>
          <w:color w:val="auto"/>
          <w:sz w:val="32"/>
          <w:szCs w:val="32"/>
        </w:rPr>
      </w:pPr>
      <w:bookmarkStart w:id="0" w:name="_GoBack"/>
      <w:bookmarkEnd w:id="0"/>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2DA7172A">
      <w:pPr>
        <w:spacing w:line="440" w:lineRule="exact"/>
        <w:rPr>
          <w:rFonts w:eastAsia="仿宋_GB2312"/>
          <w:sz w:val="28"/>
          <w:szCs w:val="24"/>
        </w:rPr>
      </w:pPr>
      <w:r>
        <w:rPr>
          <w:rFonts w:eastAsia="仿宋_GB2312"/>
          <w:sz w:val="28"/>
          <w:szCs w:val="24"/>
        </w:rPr>
        <w:t>提名奖项：自然科学奖</w:t>
      </w:r>
    </w:p>
    <w:tbl>
      <w:tblPr>
        <w:tblStyle w:val="16"/>
        <w:tblW w:w="925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982"/>
      </w:tblGrid>
      <w:tr w14:paraId="226CE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1983FCFA">
            <w:pPr>
              <w:jc w:val="center"/>
              <w:rPr>
                <w:rStyle w:val="36"/>
                <w:rFonts w:eastAsia="仿宋_GB2312"/>
                <w:b w:val="0"/>
                <w:color w:val="auto"/>
                <w:sz w:val="28"/>
              </w:rPr>
            </w:pPr>
            <w:r>
              <w:rPr>
                <w:rStyle w:val="36"/>
                <w:rFonts w:eastAsia="仿宋_GB2312"/>
                <w:b w:val="0"/>
                <w:bCs w:val="0"/>
                <w:color w:val="auto"/>
                <w:sz w:val="28"/>
              </w:rPr>
              <w:t>成果名称</w:t>
            </w:r>
          </w:p>
        </w:tc>
        <w:tc>
          <w:tcPr>
            <w:tcW w:w="6982" w:type="dxa"/>
            <w:vAlign w:val="center"/>
          </w:tcPr>
          <w:p w14:paraId="003167D6">
            <w:pPr>
              <w:jc w:val="center"/>
              <w:rPr>
                <w:rStyle w:val="36"/>
                <w:rFonts w:eastAsia="仿宋_GB2312"/>
                <w:b w:val="0"/>
                <w:color w:val="auto"/>
                <w:sz w:val="28"/>
              </w:rPr>
            </w:pPr>
            <w:r>
              <w:rPr>
                <w:rFonts w:hint="eastAsia" w:eastAsia="仿宋_GB2312"/>
                <w:sz w:val="24"/>
                <w:szCs w:val="24"/>
              </w:rPr>
              <w:t>运动系统疾病损伤及修复的代谢机理和调控研究</w:t>
            </w:r>
          </w:p>
        </w:tc>
      </w:tr>
      <w:tr w14:paraId="252D8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533150A3">
            <w:pPr>
              <w:jc w:val="center"/>
              <w:rPr>
                <w:rStyle w:val="36"/>
                <w:rFonts w:eastAsia="仿宋_GB2312"/>
                <w:b w:val="0"/>
                <w:color w:val="auto"/>
                <w:sz w:val="28"/>
              </w:rPr>
            </w:pPr>
            <w:r>
              <w:rPr>
                <w:rStyle w:val="36"/>
                <w:rFonts w:eastAsia="仿宋_GB2312"/>
                <w:b w:val="0"/>
                <w:bCs w:val="0"/>
                <w:color w:val="auto"/>
                <w:sz w:val="28"/>
              </w:rPr>
              <w:t>提名等级</w:t>
            </w:r>
          </w:p>
        </w:tc>
        <w:tc>
          <w:tcPr>
            <w:tcW w:w="6982" w:type="dxa"/>
            <w:vAlign w:val="center"/>
          </w:tcPr>
          <w:p w14:paraId="10D1EB89">
            <w:pPr>
              <w:jc w:val="center"/>
              <w:rPr>
                <w:rStyle w:val="36"/>
                <w:rFonts w:eastAsia="仿宋_GB2312"/>
                <w:b w:val="0"/>
                <w:color w:val="auto"/>
                <w:sz w:val="28"/>
              </w:rPr>
            </w:pPr>
            <w:r>
              <w:rPr>
                <w:rStyle w:val="36"/>
                <w:rFonts w:hint="eastAsia" w:eastAsia="仿宋_GB2312"/>
                <w:b w:val="0"/>
                <w:color w:val="auto"/>
                <w:sz w:val="28"/>
              </w:rPr>
              <w:t>一等奖</w:t>
            </w:r>
          </w:p>
        </w:tc>
      </w:tr>
      <w:tr w14:paraId="765DB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2C7CBFF2">
            <w:pPr>
              <w:spacing w:line="440" w:lineRule="exact"/>
              <w:jc w:val="center"/>
              <w:rPr>
                <w:rFonts w:eastAsia="仿宋_GB2312"/>
                <w:bCs/>
                <w:sz w:val="28"/>
                <w:szCs w:val="24"/>
              </w:rPr>
            </w:pPr>
            <w:r>
              <w:rPr>
                <w:rFonts w:eastAsia="仿宋_GB2312"/>
                <w:bCs/>
                <w:sz w:val="28"/>
                <w:szCs w:val="24"/>
              </w:rPr>
              <w:t>提名书</w:t>
            </w:r>
          </w:p>
          <w:p w14:paraId="730B7DDB">
            <w:pPr>
              <w:spacing w:line="440" w:lineRule="exact"/>
              <w:jc w:val="center"/>
              <w:rPr>
                <w:rFonts w:eastAsia="仿宋_GB2312"/>
                <w:bCs/>
                <w:sz w:val="28"/>
                <w:szCs w:val="24"/>
              </w:rPr>
            </w:pPr>
            <w:r>
              <w:rPr>
                <w:rFonts w:eastAsia="仿宋_GB2312"/>
                <w:bCs/>
                <w:sz w:val="28"/>
                <w:szCs w:val="24"/>
              </w:rPr>
              <w:t>相关内容</w:t>
            </w:r>
          </w:p>
        </w:tc>
        <w:tc>
          <w:tcPr>
            <w:tcW w:w="6982" w:type="dxa"/>
            <w:vAlign w:val="center"/>
          </w:tcPr>
          <w:p w14:paraId="3F8B6184">
            <w:pPr>
              <w:spacing w:line="440" w:lineRule="exact"/>
              <w:jc w:val="left"/>
              <w:rPr>
                <w:rFonts w:eastAsia="仿宋_GB2312"/>
                <w:bCs/>
                <w:sz w:val="24"/>
                <w:szCs w:val="24"/>
              </w:rPr>
            </w:pPr>
            <w:r>
              <w:rPr>
                <w:rFonts w:eastAsia="仿宋_GB2312"/>
                <w:bCs/>
                <w:sz w:val="24"/>
                <w:szCs w:val="24"/>
              </w:rPr>
              <w:t>代表性论文专著目录</w:t>
            </w:r>
            <w:r>
              <w:rPr>
                <w:rFonts w:hint="eastAsia" w:eastAsia="仿宋_GB2312"/>
                <w:bCs/>
                <w:sz w:val="24"/>
                <w:szCs w:val="24"/>
              </w:rPr>
              <w:t>：</w:t>
            </w:r>
          </w:p>
          <w:p w14:paraId="3E7D4462">
            <w:r>
              <w:t>[1] P. Chen, X. Liu, C. Gu, P. Zhong, N. Song, M. Li, Z. Dai, X. Fang, Z. Liu, J. Zhang, R. Tang, S. Fan, X. Lin, A plant-derived natural photosynthetic system for improving cell anabolism, Nature 612(7940) (2022) 546-554.</w:t>
            </w:r>
          </w:p>
          <w:p w14:paraId="166EFEDC">
            <w:r>
              <w:t>[2] Q. Wang, H. Wang, H. Yan, H. Tian, Y. Wang, W. Yu, Z. Dai, P. Chen, Z. Liu, R. Tang, C. Jiang, S. Fan, X. Liu, X. Lin, Suppression of osteoclast multinucleation via a posttranscriptional regulation–based spatiotemporally selective delivery system, Science Advances 8(26) (2022).</w:t>
            </w:r>
          </w:p>
          <w:p w14:paraId="083640F3">
            <w:r>
              <w:t>[3] J. Zhu, S. Yang, Y. Qi, Z. Gong, H. Zhang, K. Liang, P. Shen, Y.Y. Huang, Z. Zhang, W. Ye, L. Yue, S. Fan, S. Shen, A.G. Mikos, X. Wang, X. Fang, Stem cell–homing hydrogel-based miR-29b-5p delivery promotes cartilage regeneration by suppressing senescence in an osteoarthritis rat model, Science Advances 8(13) (2022).</w:t>
            </w:r>
          </w:p>
          <w:p w14:paraId="22D62B13">
            <w:r>
              <w:t>[4] X. Lin, Q. Wang, C. Gu, M. Li, K. Chen, P. Chen, Z. Tang, X. Liu, H. Pan, Z. Liu, R. Tang, S. Fan, Smart Nanosacrificial Layer on the Bone Surface Prevents Osteoporosis through Acid-Base Neutralization Regulated Biocascade Effects, Journal of the American Chemical Society 142(41) (2020) 17543-17556.</w:t>
            </w:r>
          </w:p>
          <w:p w14:paraId="02A55ABC">
            <w:r>
              <w:t>[5] P. Qiu, M. Li, K. Chen, B. Fang, P. Chen, Z. Tang, X. Lin, S. Fan, Periosteal matrix-derived hydrogel promotes bone repair through an early immune regulation coupled with enhanced angio- and osteogenesis, Biomaterials 227 (2020).</w:t>
            </w:r>
          </w:p>
          <w:p w14:paraId="1496631B">
            <w:r>
              <w:t>[6] P. Chen, L. Zheng, Y. Wang, M. Tao, Z. Xie, C. Xia, C. Gu, J. Chen, P. Qiu, S. Mei, L. Ning, Y. Shi, C. Fang, S. Fan, X. Lin, Desktop-stereolithography 3D printing of a radially oriented extracellular matrix/mesenchymal stem cell exosome bioink for osteochondral defect regeneration, Theranostics 9(9) (2019) 2439-2459.</w:t>
            </w:r>
          </w:p>
          <w:p w14:paraId="4CDC7C8F">
            <w:r>
              <w:t>[7] J. Mo, K. Huang, X. Wang, X. Sheng, Q. Wang, X. Fang, S. Fan, The Sensitivity of Orthopaedic Surgeons to the Secondary Prevention of Fragility Fractures, Journal of Bone and Joint Surgery - American Volume 100(24) (2018).</w:t>
            </w:r>
          </w:p>
          <w:p w14:paraId="5805A2C5">
            <w:r>
              <w:t>[8] X. Lin, C. Zhao, P. Zhu, J. Chen, H. Yu, Y. Cai, Q. Zhang, A. Qin, S. Fan, Periosteum Extracellular-Matrix-Mediated Acellular Mineralization during Bone Formation, Advanced Healthcare Materials 7(4) (2018).</w:t>
            </w:r>
          </w:p>
          <w:p w14:paraId="6EA0F171">
            <w:pPr>
              <w:spacing w:line="440" w:lineRule="exact"/>
              <w:jc w:val="left"/>
              <w:rPr>
                <w:rFonts w:eastAsia="仿宋_GB2312"/>
                <w:bCs/>
                <w:sz w:val="24"/>
                <w:szCs w:val="24"/>
              </w:rPr>
            </w:pPr>
            <w:r>
              <w:rPr>
                <w:rFonts w:eastAsia="仿宋_GB2312"/>
                <w:bCs/>
                <w:sz w:val="24"/>
                <w:szCs w:val="24"/>
              </w:rPr>
              <w:t>主要知识产权和标准规范目录</w:t>
            </w:r>
            <w:r>
              <w:rPr>
                <w:rFonts w:hint="eastAsia" w:eastAsia="仿宋_GB2312"/>
                <w:bCs/>
                <w:sz w:val="24"/>
                <w:szCs w:val="24"/>
              </w:rPr>
              <w:t>：</w:t>
            </w:r>
          </w:p>
          <w:p w14:paraId="64EBCEF7">
            <w:pPr>
              <w:spacing w:line="440" w:lineRule="exact"/>
              <w:jc w:val="left"/>
              <w:rPr>
                <w:rFonts w:eastAsia="仿宋_GB2312"/>
                <w:bCs/>
                <w:sz w:val="24"/>
                <w:szCs w:val="24"/>
              </w:rPr>
            </w:pPr>
            <w:r>
              <w:rPr>
                <w:rFonts w:hint="eastAsia" w:eastAsia="仿宋_GB2312"/>
                <w:bCs/>
                <w:sz w:val="24"/>
                <w:szCs w:val="24"/>
              </w:rPr>
              <w:t>1．发明专利，一种天然组织来源的脱细胞骨膜材料的制备方法，ZL201410539114.3，林贤丰，陈凯，范顺武，2016年06月08日</w:t>
            </w:r>
          </w:p>
          <w:p w14:paraId="0B3B6A08">
            <w:pPr>
              <w:spacing w:line="440" w:lineRule="exact"/>
              <w:jc w:val="left"/>
              <w:rPr>
                <w:rFonts w:eastAsia="仿宋_GB2312"/>
                <w:bCs/>
                <w:sz w:val="24"/>
                <w:szCs w:val="24"/>
              </w:rPr>
            </w:pPr>
            <w:r>
              <w:rPr>
                <w:rFonts w:eastAsia="仿宋_GB2312"/>
                <w:bCs/>
                <w:sz w:val="24"/>
                <w:szCs w:val="24"/>
              </w:rPr>
              <w:t>2</w:t>
            </w:r>
            <w:r>
              <w:rPr>
                <w:rFonts w:hint="eastAsia" w:eastAsia="仿宋_GB2312"/>
                <w:bCs/>
                <w:sz w:val="24"/>
                <w:szCs w:val="24"/>
              </w:rPr>
              <w:t>．发明专利，破骨细胞前体同源靶向的细胞膜纳米囊泡制备方法及应用，ZL202210470915.3，林贤丰，王清清，王皓立，2023年09月22日</w:t>
            </w:r>
          </w:p>
          <w:p w14:paraId="553F169D">
            <w:pPr>
              <w:spacing w:line="440" w:lineRule="exact"/>
              <w:jc w:val="left"/>
              <w:rPr>
                <w:rFonts w:eastAsia="仿宋_GB2312"/>
                <w:bCs/>
                <w:sz w:val="24"/>
                <w:szCs w:val="24"/>
              </w:rPr>
            </w:pPr>
            <w:r>
              <w:rPr>
                <w:rFonts w:hint="eastAsia" w:eastAsia="仿宋_GB2312"/>
                <w:bCs/>
                <w:sz w:val="24"/>
                <w:szCs w:val="24"/>
              </w:rPr>
              <w:t>3</w:t>
            </w:r>
            <w:r>
              <w:rPr>
                <w:rFonts w:eastAsia="仿宋_GB2312"/>
                <w:bCs/>
                <w:sz w:val="24"/>
                <w:szCs w:val="24"/>
              </w:rPr>
              <w:t>.</w:t>
            </w:r>
            <w:r>
              <w:rPr>
                <w:rFonts w:hint="eastAsia" w:eastAsia="仿宋_GB2312"/>
                <w:bCs/>
                <w:sz w:val="24"/>
                <w:szCs w:val="24"/>
              </w:rPr>
              <w:t xml:space="preserve"> 发明专利，天然组织来源的脱细胞骨膜基质凝胶材料的制备方法，ZL201910567114.7，林贤丰，邱朋程，范顺武，2021年06月29日</w:t>
            </w:r>
          </w:p>
          <w:p w14:paraId="433C123D">
            <w:pPr>
              <w:spacing w:line="440" w:lineRule="exact"/>
              <w:jc w:val="left"/>
              <w:rPr>
                <w:rFonts w:eastAsia="仿宋_GB2312"/>
                <w:bCs/>
                <w:sz w:val="24"/>
                <w:szCs w:val="24"/>
              </w:rPr>
            </w:pPr>
            <w:r>
              <w:rPr>
                <w:rFonts w:hint="eastAsia" w:eastAsia="仿宋_GB2312"/>
                <w:bCs/>
                <w:sz w:val="24"/>
                <w:szCs w:val="24"/>
              </w:rPr>
              <w:t>4</w:t>
            </w:r>
            <w:r>
              <w:rPr>
                <w:rFonts w:eastAsia="仿宋_GB2312"/>
                <w:bCs/>
                <w:sz w:val="24"/>
                <w:szCs w:val="24"/>
              </w:rPr>
              <w:t>.</w:t>
            </w:r>
            <w:r>
              <w:rPr>
                <w:rFonts w:hint="eastAsia" w:eastAsia="仿宋_GB2312"/>
                <w:bCs/>
                <w:sz w:val="24"/>
                <w:szCs w:val="24"/>
              </w:rPr>
              <w:t xml:space="preserve"> 发明专利，GRADIENT MINERALIZED BONE EXTRACELLULAR MATRIX MATERIAL AND PREPARATION METHOD THEREFOR，EP3785740，林贤丰，柳世杰，王艺芸，芦雅智，范顺武，2022 年 10 月 19 日</w:t>
            </w:r>
          </w:p>
          <w:p w14:paraId="13C3CCC5">
            <w:pPr>
              <w:spacing w:line="440" w:lineRule="exact"/>
              <w:jc w:val="left"/>
              <w:rPr>
                <w:rFonts w:eastAsia="仿宋_GB2312"/>
                <w:bCs/>
                <w:color w:val="0000FF"/>
                <w:sz w:val="24"/>
                <w:szCs w:val="24"/>
              </w:rPr>
            </w:pPr>
            <w:r>
              <w:rPr>
                <w:rFonts w:hint="eastAsia" w:eastAsia="仿宋_GB2312"/>
                <w:bCs/>
                <w:sz w:val="24"/>
                <w:szCs w:val="24"/>
              </w:rPr>
              <w:t>5</w:t>
            </w:r>
            <w:r>
              <w:rPr>
                <w:rFonts w:eastAsia="仿宋_GB2312"/>
                <w:bCs/>
                <w:sz w:val="24"/>
                <w:szCs w:val="24"/>
              </w:rPr>
              <w:t>.</w:t>
            </w:r>
            <w:r>
              <w:rPr>
                <w:rFonts w:hint="eastAsia" w:eastAsia="仿宋_GB2312"/>
                <w:bCs/>
                <w:sz w:val="24"/>
                <w:szCs w:val="24"/>
              </w:rPr>
              <w:t xml:space="preserve"> 发明专利，一种3D打印支架及制备方法和应用，ZL202110518519.9，林贤丰，顾辰辉，陈鹏飞，范顺武，2022年08月16日</w:t>
            </w:r>
          </w:p>
        </w:tc>
      </w:tr>
      <w:tr w14:paraId="07B8B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4E2FA1A5">
            <w:pPr>
              <w:spacing w:line="440" w:lineRule="exact"/>
              <w:jc w:val="center"/>
              <w:rPr>
                <w:rFonts w:eastAsia="仿宋_GB2312"/>
                <w:bCs/>
                <w:sz w:val="28"/>
                <w:szCs w:val="24"/>
              </w:rPr>
            </w:pPr>
            <w:r>
              <w:rPr>
                <w:rFonts w:eastAsia="仿宋_GB2312"/>
                <w:bCs/>
                <w:sz w:val="28"/>
                <w:szCs w:val="24"/>
              </w:rPr>
              <w:t>主要完成人</w:t>
            </w:r>
          </w:p>
        </w:tc>
        <w:tc>
          <w:tcPr>
            <w:tcW w:w="6982" w:type="dxa"/>
            <w:tcBorders>
              <w:left w:val="single" w:color="auto" w:sz="4" w:space="0"/>
            </w:tcBorders>
            <w:vAlign w:val="center"/>
          </w:tcPr>
          <w:p w14:paraId="127E6FEE">
            <w:pPr>
              <w:spacing w:line="440" w:lineRule="exact"/>
              <w:rPr>
                <w:rFonts w:eastAsia="仿宋_GB2312"/>
                <w:bCs/>
                <w:sz w:val="24"/>
                <w:szCs w:val="24"/>
              </w:rPr>
            </w:pPr>
            <w:r>
              <w:rPr>
                <w:rFonts w:hint="eastAsia" w:eastAsia="仿宋_GB2312"/>
                <w:bCs/>
                <w:sz w:val="24"/>
                <w:szCs w:val="24"/>
              </w:rPr>
              <w:t>林贤丰</w:t>
            </w:r>
            <w:r>
              <w:rPr>
                <w:rFonts w:eastAsia="仿宋_GB2312"/>
                <w:bCs/>
                <w:sz w:val="24"/>
                <w:szCs w:val="24"/>
              </w:rPr>
              <w:t>，排名1，</w:t>
            </w:r>
            <w:r>
              <w:rPr>
                <w:rFonts w:hint="eastAsia" w:eastAsia="仿宋_GB2312"/>
                <w:bCs/>
                <w:sz w:val="24"/>
                <w:szCs w:val="24"/>
              </w:rPr>
              <w:t>副主任医师/特聘研究员，</w:t>
            </w:r>
            <w:r>
              <w:rPr>
                <w:rFonts w:hint="eastAsia" w:eastAsia="仿宋_GB2312"/>
                <w:sz w:val="24"/>
                <w:szCs w:val="24"/>
              </w:rPr>
              <w:t>浙江大学医学院附属邵逸夫医院</w:t>
            </w:r>
            <w:r>
              <w:rPr>
                <w:rFonts w:eastAsia="仿宋_GB2312"/>
                <w:bCs/>
                <w:sz w:val="24"/>
                <w:szCs w:val="24"/>
              </w:rPr>
              <w:t>；</w:t>
            </w:r>
          </w:p>
          <w:p w14:paraId="5FE80D6D">
            <w:pPr>
              <w:spacing w:line="440" w:lineRule="exact"/>
              <w:rPr>
                <w:rFonts w:eastAsia="仿宋_GB2312"/>
                <w:bCs/>
                <w:sz w:val="24"/>
                <w:szCs w:val="24"/>
              </w:rPr>
            </w:pPr>
            <w:r>
              <w:rPr>
                <w:rFonts w:hint="eastAsia" w:eastAsia="仿宋_GB2312"/>
                <w:sz w:val="24"/>
                <w:szCs w:val="24"/>
              </w:rPr>
              <w:t>陈鹏飞</w:t>
            </w:r>
            <w:r>
              <w:rPr>
                <w:rFonts w:eastAsia="仿宋_GB2312"/>
                <w:bCs/>
                <w:sz w:val="24"/>
                <w:szCs w:val="24"/>
              </w:rPr>
              <w:t>，排名2，</w:t>
            </w:r>
            <w:r>
              <w:rPr>
                <w:rFonts w:hint="eastAsia" w:eastAsia="仿宋_GB2312"/>
                <w:bCs/>
                <w:sz w:val="24"/>
                <w:szCs w:val="24"/>
              </w:rPr>
              <w:t>主治医师/特聘研究员</w:t>
            </w:r>
            <w:r>
              <w:rPr>
                <w:rFonts w:eastAsia="仿宋_GB2312"/>
                <w:bCs/>
                <w:sz w:val="24"/>
                <w:szCs w:val="24"/>
              </w:rPr>
              <w:t>，</w:t>
            </w:r>
            <w:r>
              <w:rPr>
                <w:rFonts w:hint="eastAsia" w:eastAsia="仿宋_GB2312"/>
                <w:sz w:val="24"/>
                <w:szCs w:val="24"/>
              </w:rPr>
              <w:t>浙江大学医学院附属邵逸夫医院</w:t>
            </w:r>
            <w:r>
              <w:rPr>
                <w:rFonts w:eastAsia="仿宋_GB2312"/>
                <w:bCs/>
                <w:sz w:val="24"/>
                <w:szCs w:val="24"/>
              </w:rPr>
              <w:t>；</w:t>
            </w:r>
          </w:p>
          <w:p w14:paraId="5E92CEF7">
            <w:pPr>
              <w:spacing w:line="440" w:lineRule="exact"/>
              <w:rPr>
                <w:rFonts w:eastAsia="仿宋_GB2312"/>
                <w:bCs/>
                <w:sz w:val="24"/>
                <w:szCs w:val="24"/>
              </w:rPr>
            </w:pPr>
            <w:r>
              <w:rPr>
                <w:rFonts w:hint="eastAsia" w:eastAsia="仿宋_GB2312"/>
                <w:sz w:val="24"/>
                <w:szCs w:val="24"/>
              </w:rPr>
              <w:t>王清清</w:t>
            </w:r>
            <w:r>
              <w:rPr>
                <w:rFonts w:eastAsia="仿宋_GB2312"/>
                <w:bCs/>
                <w:sz w:val="24"/>
                <w:szCs w:val="24"/>
              </w:rPr>
              <w:t>，排名3，</w:t>
            </w:r>
            <w:r>
              <w:rPr>
                <w:rFonts w:hint="eastAsia" w:eastAsia="仿宋_GB2312"/>
                <w:bCs/>
                <w:sz w:val="24"/>
                <w:szCs w:val="24"/>
              </w:rPr>
              <w:t>主治医师/特聘副研究员</w:t>
            </w:r>
            <w:r>
              <w:rPr>
                <w:rFonts w:eastAsia="仿宋_GB2312"/>
                <w:bCs/>
                <w:sz w:val="24"/>
                <w:szCs w:val="24"/>
              </w:rPr>
              <w:t>，</w:t>
            </w:r>
            <w:r>
              <w:rPr>
                <w:rFonts w:hint="eastAsia" w:eastAsia="仿宋_GB2312"/>
                <w:sz w:val="24"/>
                <w:szCs w:val="24"/>
              </w:rPr>
              <w:t>浙江大学医学院附属邵逸夫医院</w:t>
            </w:r>
            <w:r>
              <w:rPr>
                <w:rFonts w:eastAsia="仿宋_GB2312"/>
                <w:bCs/>
                <w:sz w:val="24"/>
                <w:szCs w:val="24"/>
              </w:rPr>
              <w:t>；</w:t>
            </w:r>
          </w:p>
          <w:p w14:paraId="70D1B630">
            <w:pPr>
              <w:spacing w:line="440" w:lineRule="exact"/>
              <w:rPr>
                <w:rFonts w:eastAsia="仿宋_GB2312"/>
                <w:bCs/>
                <w:sz w:val="24"/>
                <w:szCs w:val="24"/>
              </w:rPr>
            </w:pPr>
            <w:r>
              <w:rPr>
                <w:rFonts w:hint="eastAsia" w:eastAsia="仿宋_GB2312"/>
                <w:sz w:val="24"/>
                <w:szCs w:val="24"/>
              </w:rPr>
              <w:t>方向前</w:t>
            </w:r>
            <w:r>
              <w:rPr>
                <w:rFonts w:eastAsia="仿宋_GB2312"/>
                <w:bCs/>
                <w:sz w:val="24"/>
                <w:szCs w:val="24"/>
              </w:rPr>
              <w:t>，排名4，</w:t>
            </w:r>
            <w:r>
              <w:rPr>
                <w:rFonts w:hint="eastAsia" w:eastAsia="仿宋_GB2312"/>
                <w:bCs/>
                <w:sz w:val="24"/>
                <w:szCs w:val="24"/>
              </w:rPr>
              <w:t>主任医师/教授</w:t>
            </w:r>
            <w:r>
              <w:rPr>
                <w:rFonts w:eastAsia="仿宋_GB2312"/>
                <w:bCs/>
                <w:sz w:val="24"/>
                <w:szCs w:val="24"/>
              </w:rPr>
              <w:t>，</w:t>
            </w:r>
            <w:r>
              <w:rPr>
                <w:rFonts w:hint="eastAsia" w:eastAsia="仿宋_GB2312"/>
                <w:sz w:val="24"/>
                <w:szCs w:val="24"/>
              </w:rPr>
              <w:t>浙江大学医学院附属邵逸夫医院</w:t>
            </w:r>
            <w:r>
              <w:rPr>
                <w:rFonts w:eastAsia="仿宋_GB2312"/>
                <w:bCs/>
                <w:sz w:val="24"/>
                <w:szCs w:val="24"/>
              </w:rPr>
              <w:t>；</w:t>
            </w:r>
          </w:p>
          <w:p w14:paraId="0A53885F">
            <w:pPr>
              <w:spacing w:line="440" w:lineRule="exact"/>
              <w:rPr>
                <w:rFonts w:eastAsia="仿宋_GB2312"/>
                <w:bCs/>
                <w:sz w:val="24"/>
                <w:szCs w:val="24"/>
              </w:rPr>
            </w:pPr>
            <w:r>
              <w:rPr>
                <w:rFonts w:hint="eastAsia" w:eastAsia="仿宋_GB2312"/>
                <w:sz w:val="24"/>
                <w:szCs w:val="24"/>
              </w:rPr>
              <w:t>范顺武</w:t>
            </w:r>
            <w:r>
              <w:rPr>
                <w:rFonts w:eastAsia="仿宋_GB2312"/>
                <w:bCs/>
                <w:sz w:val="24"/>
                <w:szCs w:val="24"/>
              </w:rPr>
              <w:t>，排名5，</w:t>
            </w:r>
            <w:r>
              <w:rPr>
                <w:rFonts w:hint="eastAsia" w:eastAsia="仿宋_GB2312"/>
                <w:bCs/>
                <w:sz w:val="24"/>
                <w:szCs w:val="24"/>
              </w:rPr>
              <w:t>主任医师/教授</w:t>
            </w:r>
            <w:r>
              <w:rPr>
                <w:rFonts w:eastAsia="仿宋_GB2312"/>
                <w:bCs/>
                <w:sz w:val="24"/>
                <w:szCs w:val="24"/>
              </w:rPr>
              <w:t>，</w:t>
            </w:r>
            <w:r>
              <w:rPr>
                <w:rFonts w:hint="eastAsia" w:eastAsia="仿宋_GB2312"/>
                <w:sz w:val="24"/>
                <w:szCs w:val="24"/>
              </w:rPr>
              <w:t>浙江大学医学院附属邵逸夫医院</w:t>
            </w:r>
            <w:r>
              <w:rPr>
                <w:rFonts w:eastAsia="仿宋_GB2312"/>
                <w:bCs/>
                <w:sz w:val="24"/>
                <w:szCs w:val="24"/>
              </w:rPr>
              <w:t>；</w:t>
            </w:r>
          </w:p>
        </w:tc>
      </w:tr>
      <w:tr w14:paraId="276AE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76485B7F">
            <w:pPr>
              <w:spacing w:line="440" w:lineRule="exact"/>
              <w:jc w:val="center"/>
              <w:rPr>
                <w:rFonts w:eastAsia="仿宋"/>
                <w:bCs/>
                <w:sz w:val="24"/>
                <w:szCs w:val="24"/>
              </w:rPr>
            </w:pPr>
            <w:r>
              <w:rPr>
                <w:rFonts w:eastAsia="仿宋"/>
                <w:bCs/>
                <w:sz w:val="28"/>
                <w:szCs w:val="24"/>
              </w:rPr>
              <w:t>主要完成单位</w:t>
            </w:r>
          </w:p>
        </w:tc>
        <w:tc>
          <w:tcPr>
            <w:tcW w:w="6982" w:type="dxa"/>
            <w:tcBorders>
              <w:left w:val="single" w:color="auto" w:sz="4" w:space="0"/>
            </w:tcBorders>
            <w:vAlign w:val="center"/>
          </w:tcPr>
          <w:p w14:paraId="6DA839E0">
            <w:pPr>
              <w:spacing w:line="440" w:lineRule="exact"/>
              <w:jc w:val="center"/>
              <w:rPr>
                <w:rFonts w:eastAsia="仿宋_GB2312"/>
                <w:bCs/>
                <w:sz w:val="24"/>
                <w:szCs w:val="24"/>
              </w:rPr>
            </w:pPr>
            <w:r>
              <w:rPr>
                <w:rFonts w:hint="eastAsia" w:eastAsia="仿宋_GB2312"/>
                <w:sz w:val="24"/>
                <w:szCs w:val="24"/>
              </w:rPr>
              <w:t>浙江大学医学院附属邵逸夫医院</w:t>
            </w:r>
          </w:p>
        </w:tc>
      </w:tr>
      <w:tr w14:paraId="5DD0E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628A5074">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982" w:type="dxa"/>
            <w:vAlign w:val="center"/>
          </w:tcPr>
          <w:p w14:paraId="51185077">
            <w:pPr>
              <w:contextualSpacing/>
              <w:jc w:val="center"/>
              <w:rPr>
                <w:rStyle w:val="36"/>
                <w:b w:val="0"/>
                <w:color w:val="auto"/>
              </w:rPr>
            </w:pPr>
            <w:r>
              <w:rPr>
                <w:rFonts w:hint="eastAsia" w:eastAsia="仿宋_GB2312"/>
                <w:sz w:val="24"/>
                <w:szCs w:val="24"/>
              </w:rPr>
              <w:t>浙江大学</w:t>
            </w:r>
          </w:p>
        </w:tc>
      </w:tr>
      <w:tr w14:paraId="1167B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8" w:hRule="atLeast"/>
        </w:trPr>
        <w:tc>
          <w:tcPr>
            <w:tcW w:w="2269" w:type="dxa"/>
            <w:vAlign w:val="center"/>
          </w:tcPr>
          <w:p w14:paraId="57E4388C">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982" w:type="dxa"/>
            <w:vAlign w:val="center"/>
          </w:tcPr>
          <w:p w14:paraId="68915101">
            <w:pPr>
              <w:ind w:firstLine="480" w:firstLineChars="200"/>
              <w:contextualSpacing/>
              <w:jc w:val="left"/>
              <w:rPr>
                <w:rFonts w:eastAsia="仿宋_GB2312"/>
                <w:sz w:val="24"/>
              </w:rPr>
            </w:pPr>
            <w:r>
              <w:rPr>
                <w:rFonts w:hint="eastAsia" w:eastAsia="仿宋_GB2312"/>
                <w:sz w:val="24"/>
              </w:rPr>
              <w:t>运动系统是人体细胞代谢最活跃的系统之一，临床上其损伤/退变与修复关键细胞群的代谢状态可能是影响最终疾病预后转归的“扳机点”。本项目针对代谢调控促修复这一关键科学问题，专注运动系统疾病损伤/退变与修复关键细胞群，构建了多层级代谢调控策略，取得了以下三方面成果：1、基于骨关节细胞退变始动因素—合成代谢障碍，跨物种递送植物光合作用系统，首次实现哺乳动物光合反应并恢复退变软骨细胞代谢稳态的代谢系统调控；2、揭示运动系统损伤巨噬细胞过度炎症阻碍修复机理，构建天然细胞外基质材料，阻断巨噬细胞促炎代谢物摄取并促修复的代谢集群调控；3、揭示破骨细胞非编码RNA调控多核化新机制，原创性构建碳酸氢钠脂质体碱性保护层和细胞膜材料基因递送系统治疗骨质疏松的代谢位点调控。研究成果发表在国际权威期刊Nature、Science Advances（2篇）、Journal of the American Chemical Society、Biom</w:t>
            </w:r>
            <w:r>
              <w:rPr>
                <w:rFonts w:eastAsia="仿宋_GB2312"/>
                <w:sz w:val="24"/>
              </w:rPr>
              <w:t>aterials</w:t>
            </w:r>
            <w:r>
              <w:rPr>
                <w:rFonts w:hint="eastAsia" w:eastAsia="仿宋_GB2312"/>
                <w:sz w:val="24"/>
              </w:rPr>
              <w:t>等，被Science、</w:t>
            </w:r>
            <w:r>
              <w:rPr>
                <w:rFonts w:eastAsia="仿宋_GB2312"/>
                <w:sz w:val="24"/>
              </w:rPr>
              <w:t>Nature Nanotechnology</w:t>
            </w:r>
            <w:r>
              <w:rPr>
                <w:rFonts w:hint="eastAsia" w:eastAsia="仿宋_GB2312"/>
                <w:sz w:val="24"/>
              </w:rPr>
              <w:t>、Nature Biotechnology、Cell Stem Cell等期刊论文Highlight和引用。多篇研究论文入选F1000Prime推荐论文（★★★、★★）、2021年度“中国百篇最具影响国际学术论文”和TOP1% ESI高被引论文。完成人团队拥有2名国家自然科学优秀青年科学基金获得者，主持国自然重点项目、国自然重大研究计划培育项目、国家重点研发计划项目等多项，核心技术获中国、欧盟等专利授权，相关研究成果并入选中国空间站空间科学与应用项目，在运动系统修复再生领域有重大学术与临床价值。</w:t>
            </w:r>
          </w:p>
          <w:p w14:paraId="5FC3CE13">
            <w:pPr>
              <w:ind w:firstLine="420" w:firstLineChars="200"/>
              <w:contextualSpacing/>
              <w:jc w:val="left"/>
              <w:rPr>
                <w:rStyle w:val="36"/>
                <w:rFonts w:ascii="宋体" w:hAnsi="宋体" w:cs="宋体"/>
                <w:b w:val="0"/>
                <w:color w:val="auto"/>
              </w:rPr>
            </w:pPr>
            <w:r>
              <w:rPr>
                <w:rFonts w:hint="eastAsia"/>
              </w:rPr>
              <w:t>提名该成果为浙江省自然科学奖一等奖。</w:t>
            </w:r>
          </w:p>
        </w:tc>
      </w:tr>
    </w:tbl>
    <w:p w14:paraId="4630B3C6">
      <w:pPr>
        <w:adjustRightInd w:val="0"/>
        <w:snapToGrid w:val="0"/>
        <w:spacing w:line="560" w:lineRule="exact"/>
        <w:rPr>
          <w:rFonts w:eastAsia="仿宋_GB2312"/>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AC7B127-335B-452A-B3F7-89FB913B5DAD}"/>
  </w:font>
  <w:font w:name="Arial">
    <w:panose1 w:val="020B0604020202020204"/>
    <w:charset w:val="01"/>
    <w:family w:val="swiss"/>
    <w:pitch w:val="default"/>
    <w:sig w:usb0="E0002EFF" w:usb1="C000785B" w:usb2="00000009" w:usb3="00000000" w:csb0="400001FF" w:csb1="FFFF0000"/>
    <w:embedRegular r:id="rId2" w:fontKey="{2782C412-43B1-4B36-805B-50B67A70A5C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3A152BC-2CEE-44D9-82E6-81D1FDA92763}"/>
  </w:font>
  <w:font w:name="Symbol">
    <w:panose1 w:val="05050102010706020507"/>
    <w:charset w:val="02"/>
    <w:family w:val="roman"/>
    <w:pitch w:val="default"/>
    <w:sig w:usb0="00000000" w:usb1="00000000" w:usb2="00000000" w:usb3="00000000" w:csb0="80000000" w:csb1="00000000"/>
    <w:embedRegular r:id="rId4" w:fontKey="{7B2CE0AF-4C7B-4FC9-AE00-AC95F106F36E}"/>
  </w:font>
  <w:font w:name="Calibri">
    <w:panose1 w:val="020F0502020204030204"/>
    <w:charset w:val="00"/>
    <w:family w:val="swiss"/>
    <w:pitch w:val="default"/>
    <w:sig w:usb0="E4002EFF" w:usb1="C000247B" w:usb2="00000009" w:usb3="00000000" w:csb0="200001FF" w:csb1="00000000"/>
    <w:embedRegular r:id="rId5" w:fontKey="{431B2485-1C2B-49BA-8D90-E9B2E6C26216}"/>
  </w:font>
  <w:font w:name="Cambria">
    <w:panose1 w:val="02040503050406030204"/>
    <w:charset w:val="00"/>
    <w:family w:val="roman"/>
    <w:pitch w:val="default"/>
    <w:sig w:usb0="E00006FF" w:usb1="420024FF" w:usb2="02000000" w:usb3="00000000" w:csb0="2000019F" w:csb1="00000000"/>
    <w:embedRegular r:id="rId6" w:fontKey="{CEF5A1E9-0BFC-495F-BF4F-7D41CA5C1E1A}"/>
  </w:font>
  <w:font w:name="仿宋_GB2312">
    <w:panose1 w:val="02010609030101010101"/>
    <w:charset w:val="86"/>
    <w:family w:val="modern"/>
    <w:pitch w:val="default"/>
    <w:sig w:usb0="00000001" w:usb1="080E0000" w:usb2="00000000" w:usb3="00000000" w:csb0="00040000" w:csb1="00000000"/>
    <w:embedRegular r:id="rId7" w:fontKey="{916ADB16-5746-473F-BE11-0B64CE3A6FAA}"/>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6BEB8086-67B6-42E9-96AA-1AC9E8F74B0A}"/>
  </w:font>
  <w:font w:name="仿宋">
    <w:panose1 w:val="02010609060101010101"/>
    <w:charset w:val="86"/>
    <w:family w:val="modern"/>
    <w:pitch w:val="default"/>
    <w:sig w:usb0="800002BF" w:usb1="38CF7CFA" w:usb2="00000016" w:usb3="00000000" w:csb0="00040001" w:csb1="00000000"/>
    <w:embedRegular r:id="rId9" w:fontKey="{A0C2E8E4-0831-4613-9651-70A6584A5E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050205EC">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4D962">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7422B"/>
    <w:rsid w:val="00083906"/>
    <w:rsid w:val="000847FC"/>
    <w:rsid w:val="000929AE"/>
    <w:rsid w:val="000A0FE4"/>
    <w:rsid w:val="000B70B3"/>
    <w:rsid w:val="000C632A"/>
    <w:rsid w:val="000F1229"/>
    <w:rsid w:val="000F2CC3"/>
    <w:rsid w:val="000F32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3DBE"/>
    <w:rsid w:val="002C6803"/>
    <w:rsid w:val="002C6E65"/>
    <w:rsid w:val="002D1FA7"/>
    <w:rsid w:val="002D3BA3"/>
    <w:rsid w:val="002E42A8"/>
    <w:rsid w:val="002E43DB"/>
    <w:rsid w:val="002F1911"/>
    <w:rsid w:val="002F74D2"/>
    <w:rsid w:val="0030543F"/>
    <w:rsid w:val="003063D6"/>
    <w:rsid w:val="003103FA"/>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3823"/>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C58E2"/>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4E6D"/>
    <w:rsid w:val="005E6D32"/>
    <w:rsid w:val="005F0DC8"/>
    <w:rsid w:val="00600FA4"/>
    <w:rsid w:val="00605720"/>
    <w:rsid w:val="00611BDC"/>
    <w:rsid w:val="006177DC"/>
    <w:rsid w:val="00623BD2"/>
    <w:rsid w:val="00626265"/>
    <w:rsid w:val="006269F8"/>
    <w:rsid w:val="00642EBC"/>
    <w:rsid w:val="00643B2E"/>
    <w:rsid w:val="00644DF9"/>
    <w:rsid w:val="00646AD1"/>
    <w:rsid w:val="00651504"/>
    <w:rsid w:val="00670053"/>
    <w:rsid w:val="00673E71"/>
    <w:rsid w:val="006823DB"/>
    <w:rsid w:val="0069220B"/>
    <w:rsid w:val="00692309"/>
    <w:rsid w:val="00693192"/>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27CC"/>
    <w:rsid w:val="007A5E60"/>
    <w:rsid w:val="007B0382"/>
    <w:rsid w:val="007B7CAA"/>
    <w:rsid w:val="007C1C6E"/>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2DDF"/>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D35A0"/>
    <w:rsid w:val="00BE7259"/>
    <w:rsid w:val="00C0559A"/>
    <w:rsid w:val="00C10571"/>
    <w:rsid w:val="00C24E7B"/>
    <w:rsid w:val="00C36E42"/>
    <w:rsid w:val="00C450EA"/>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CF6AD5"/>
    <w:rsid w:val="00D043A5"/>
    <w:rsid w:val="00D06294"/>
    <w:rsid w:val="00D152B1"/>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87061"/>
    <w:rsid w:val="00D97840"/>
    <w:rsid w:val="00DB067C"/>
    <w:rsid w:val="00DB4832"/>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9632E"/>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68B4879"/>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0A19B0"/>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2B7F20"/>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56527D"/>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80A93"/>
    <w:rsid w:val="472E36B4"/>
    <w:rsid w:val="47F15329"/>
    <w:rsid w:val="48B76D8F"/>
    <w:rsid w:val="49DD2383"/>
    <w:rsid w:val="4C1F3EFD"/>
    <w:rsid w:val="4CA639F1"/>
    <w:rsid w:val="4CE34B9C"/>
    <w:rsid w:val="4D38031C"/>
    <w:rsid w:val="4EAD471B"/>
    <w:rsid w:val="4FD36E0E"/>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66091" w:themeColor="accent1" w:themeShade="BF"/>
      <w:kern w:val="0"/>
      <w:sz w:val="32"/>
      <w:szCs w:val="32"/>
    </w:rPr>
  </w:style>
  <w:style w:type="paragraph" w:customStyle="1" w:styleId="38">
    <w:name w:val="Revision"/>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1456</Words>
  <Characters>3196</Characters>
  <Lines>25</Lines>
  <Paragraphs>7</Paragraphs>
  <TotalTime>32</TotalTime>
  <ScaleCrop>false</ScaleCrop>
  <LinksUpToDate>false</LinksUpToDate>
  <CharactersWithSpaces>3561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2022-01-25T00:15:00Z</dcterms:created>
  <dc:creator>胡胜链</dc:creator>
  <cp:lastModifiedBy>葛格</cp:lastModifiedBy>
  <cp:lastPrinted>2022-01-27T01:53:00Z</cp:lastPrinted>
  <dcterms:modified xsi:type="dcterms:W3CDTF">2025-09-16T02:09:33Z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3110F5C206A74D3C990D3A8C423DF493_13</vt:lpwstr>
  </property>
  <property fmtid="{D5CDD505-2E9C-101B-9397-08002B2CF9AE}" pid="4" name="KSOTemplateDocerSaveRecord">
    <vt:lpwstr>eyJoZGlkIjoiY2FmYzE5MDMyMWQ0MzE2YjViM2ZiODE5N2JmNzNkZWYiLCJ1c2VySWQiOiIyNjExNDgzODcifQ==</vt:lpwstr>
  </property>
</Properties>
</file>