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1F4BD">
      <w:pPr>
        <w:jc w:val="center"/>
        <w:rPr>
          <w:rStyle w:val="37"/>
          <w:rFonts w:eastAsia="Arial Unicode MS"/>
          <w:bCs w:val="0"/>
          <w:color w:val="auto"/>
          <w:sz w:val="36"/>
          <w:szCs w:val="36"/>
        </w:rPr>
      </w:pPr>
      <w:bookmarkStart w:id="0" w:name="OLE_LINK39"/>
      <w:bookmarkStart w:id="3" w:name="_GoBack"/>
      <w:bookmarkEnd w:id="3"/>
      <w:r>
        <w:rPr>
          <w:rStyle w:val="37"/>
          <w:rFonts w:eastAsia="Arial Unicode MS"/>
          <w:b w:val="0"/>
          <w:color w:val="auto"/>
          <w:sz w:val="36"/>
          <w:szCs w:val="36"/>
        </w:rPr>
        <w:t>浙江省科学技术奖</w:t>
      </w:r>
      <w:bookmarkEnd w:id="0"/>
      <w:r>
        <w:rPr>
          <w:rStyle w:val="37"/>
          <w:rFonts w:eastAsia="Arial Unicode MS"/>
          <w:b w:val="0"/>
          <w:color w:val="auto"/>
          <w:sz w:val="36"/>
          <w:szCs w:val="36"/>
        </w:rPr>
        <w:t>公示信息表</w:t>
      </w:r>
      <w:r>
        <w:rPr>
          <w:rStyle w:val="37"/>
          <w:rFonts w:eastAsia="FangSong_GB2312"/>
          <w:b w:val="0"/>
          <w:color w:val="auto"/>
          <w:sz w:val="32"/>
          <w:szCs w:val="32"/>
        </w:rPr>
        <w:t>（单位提名）</w:t>
      </w:r>
    </w:p>
    <w:p w14:paraId="20B6D97E">
      <w:pPr>
        <w:spacing w:line="440" w:lineRule="exact"/>
        <w:rPr>
          <w:rFonts w:eastAsia="FangSong_GB2312"/>
          <w:sz w:val="28"/>
          <w:szCs w:val="24"/>
        </w:rPr>
      </w:pPr>
      <w:r>
        <w:rPr>
          <w:rFonts w:eastAsia="FangSong_GB2312"/>
          <w:sz w:val="28"/>
          <w:szCs w:val="24"/>
        </w:rPr>
        <w:t>提名奖项：</w:t>
      </w:r>
      <w:r>
        <w:rPr>
          <w:rFonts w:hint="eastAsia" w:eastAsia="FangSong_GB2312"/>
          <w:sz w:val="28"/>
          <w:szCs w:val="24"/>
        </w:rPr>
        <w:t>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31E8E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21C280A8">
            <w:pPr>
              <w:jc w:val="center"/>
              <w:rPr>
                <w:rStyle w:val="37"/>
                <w:rFonts w:eastAsia="FangSong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FangSong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>
            <w:pPr>
              <w:jc w:val="center"/>
              <w:rPr>
                <w:rStyle w:val="37"/>
                <w:rFonts w:eastAsia="FangSong_GB2312"/>
                <w:b w:val="0"/>
                <w:color w:val="auto"/>
                <w:sz w:val="28"/>
              </w:rPr>
            </w:pPr>
            <w:r>
              <w:rPr>
                <w:rStyle w:val="37"/>
                <w:rFonts w:hint="eastAsia" w:eastAsia="FangSong_GB2312"/>
                <w:b w:val="0"/>
                <w:color w:val="auto"/>
                <w:sz w:val="28"/>
              </w:rPr>
              <w:t>胰腺内外分泌疾病功能组学与临床诊疗策略研究</w:t>
            </w:r>
          </w:p>
        </w:tc>
      </w:tr>
      <w:tr w14:paraId="6B4F7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EDCFB7A">
            <w:pPr>
              <w:jc w:val="center"/>
              <w:rPr>
                <w:rStyle w:val="37"/>
                <w:rFonts w:eastAsia="FangSong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FangSong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>
            <w:pPr>
              <w:jc w:val="center"/>
              <w:rPr>
                <w:rStyle w:val="37"/>
                <w:rFonts w:eastAsia="FangSong_GB2312"/>
                <w:b w:val="0"/>
                <w:color w:val="auto"/>
                <w:sz w:val="28"/>
              </w:rPr>
            </w:pPr>
            <w:r>
              <w:rPr>
                <w:rFonts w:hint="eastAsia" w:eastAsia="FangSong_GB2312"/>
                <w:sz w:val="28"/>
                <w:szCs w:val="24"/>
              </w:rPr>
              <w:t>一等奖</w:t>
            </w:r>
          </w:p>
        </w:tc>
      </w:tr>
      <w:tr w14:paraId="7F1BA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29FD6AD">
            <w:pPr>
              <w:spacing w:line="440" w:lineRule="exact"/>
              <w:jc w:val="center"/>
              <w:rPr>
                <w:rFonts w:eastAsia="FangSong_GB2312"/>
                <w:bCs/>
                <w:sz w:val="28"/>
                <w:szCs w:val="24"/>
              </w:rPr>
            </w:pPr>
            <w:r>
              <w:rPr>
                <w:rFonts w:eastAsia="FangSong_GB2312"/>
                <w:bCs/>
                <w:sz w:val="28"/>
                <w:szCs w:val="24"/>
              </w:rPr>
              <w:t>提名书</w:t>
            </w:r>
          </w:p>
          <w:p w14:paraId="28FB9CAA">
            <w:pPr>
              <w:spacing w:line="440" w:lineRule="exact"/>
              <w:jc w:val="center"/>
              <w:rPr>
                <w:rFonts w:eastAsia="FangSong_GB2312"/>
                <w:bCs/>
                <w:sz w:val="28"/>
                <w:szCs w:val="24"/>
              </w:rPr>
            </w:pPr>
            <w:r>
              <w:rPr>
                <w:rFonts w:eastAsia="FangSong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19FA131">
            <w:pPr>
              <w:spacing w:line="440" w:lineRule="exact"/>
              <w:jc w:val="lef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科学技术进步奖：</w:t>
            </w:r>
          </w:p>
          <w:p w14:paraId="0910C697">
            <w:pPr>
              <w:spacing w:line="440" w:lineRule="exact"/>
              <w:jc w:val="lef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（1）提名书的主要知识产权和标准规范目录（附表1）</w:t>
            </w:r>
          </w:p>
          <w:p w14:paraId="5F3493EC">
            <w:pPr>
              <w:spacing w:line="440" w:lineRule="exact"/>
              <w:jc w:val="lef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（2）代表性论文专著目录（附表2）</w:t>
            </w:r>
          </w:p>
        </w:tc>
      </w:tr>
      <w:tr w14:paraId="10B0B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31AAE00">
            <w:pPr>
              <w:spacing w:line="440" w:lineRule="exact"/>
              <w:jc w:val="center"/>
              <w:rPr>
                <w:rFonts w:eastAsia="FangSong_GB2312"/>
                <w:bCs/>
                <w:sz w:val="28"/>
                <w:szCs w:val="24"/>
              </w:rPr>
            </w:pPr>
            <w:r>
              <w:rPr>
                <w:rFonts w:eastAsia="FangSong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1922F03">
            <w:pPr>
              <w:spacing w:line="440" w:lineRule="exac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吴育连</w:t>
            </w:r>
            <w:r>
              <w:rPr>
                <w:rFonts w:eastAsia="FangSong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教授、博导</w:t>
            </w:r>
            <w:r>
              <w:rPr>
                <w:rFonts w:hint="eastAsia" w:eastAsia="FangSong_GB2312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主任医师</w:t>
            </w:r>
            <w:r>
              <w:rPr>
                <w:rFonts w:eastAsia="FangSong_GB2312"/>
                <w:bCs/>
                <w:sz w:val="24"/>
                <w:szCs w:val="24"/>
              </w:rPr>
              <w:t>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浙江大学医学院附属第二医院</w:t>
            </w:r>
            <w:r>
              <w:rPr>
                <w:rFonts w:eastAsia="FangSong_GB2312"/>
                <w:bCs/>
                <w:sz w:val="24"/>
                <w:szCs w:val="24"/>
              </w:rPr>
              <w:t>；</w:t>
            </w:r>
          </w:p>
          <w:p w14:paraId="302246FB">
            <w:pPr>
              <w:spacing w:line="440" w:lineRule="exac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陆文洁</w:t>
            </w:r>
            <w:r>
              <w:rPr>
                <w:rFonts w:eastAsia="FangSong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副主任医师</w:t>
            </w:r>
            <w:r>
              <w:rPr>
                <w:rFonts w:eastAsia="FangSong_GB2312"/>
                <w:bCs/>
                <w:sz w:val="24"/>
                <w:szCs w:val="24"/>
              </w:rPr>
              <w:t>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浙江大学医学院附属第二医院</w:t>
            </w:r>
            <w:r>
              <w:rPr>
                <w:rFonts w:eastAsia="FangSong_GB2312"/>
                <w:bCs/>
                <w:sz w:val="24"/>
                <w:szCs w:val="24"/>
              </w:rPr>
              <w:t>；</w:t>
            </w:r>
          </w:p>
          <w:p w14:paraId="2E09CA33">
            <w:pPr>
              <w:spacing w:line="440" w:lineRule="exac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励夏炜</w:t>
            </w:r>
            <w:r>
              <w:rPr>
                <w:rFonts w:eastAsia="FangSong_GB2312"/>
                <w:bCs/>
                <w:sz w:val="24"/>
                <w:szCs w:val="24"/>
              </w:rPr>
              <w:t>，排名3，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副主任医师、特聘研究员</w:t>
            </w:r>
            <w:r>
              <w:rPr>
                <w:rFonts w:eastAsia="FangSong_GB2312"/>
                <w:bCs/>
                <w:sz w:val="24"/>
                <w:szCs w:val="24"/>
              </w:rPr>
              <w:t>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浙江大学医学院附属第二医院；</w:t>
            </w:r>
          </w:p>
          <w:p w14:paraId="6E9C9DD4">
            <w:pPr>
              <w:spacing w:line="440" w:lineRule="exac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董鑫</w:t>
            </w:r>
            <w:r>
              <w:rPr>
                <w:rFonts w:eastAsia="FangSong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4</w:t>
            </w:r>
            <w:r>
              <w:rPr>
                <w:rFonts w:eastAsia="FangSong_GB2312"/>
                <w:bCs/>
                <w:sz w:val="24"/>
                <w:szCs w:val="24"/>
              </w:rPr>
              <w:t>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主任医师</w:t>
            </w:r>
            <w:r>
              <w:rPr>
                <w:rFonts w:eastAsia="FangSong_GB2312"/>
                <w:bCs/>
                <w:sz w:val="24"/>
                <w:szCs w:val="24"/>
              </w:rPr>
              <w:t>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杭州市第一人民医院；</w:t>
            </w:r>
          </w:p>
          <w:p w14:paraId="621E621A">
            <w:pPr>
              <w:spacing w:line="440" w:lineRule="exac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龚嘉俐，排名5，</w:t>
            </w:r>
            <w:r>
              <w:rPr>
                <w:rFonts w:hint="eastAsia" w:eastAsia="FangSong_GB2312"/>
                <w:bCs/>
                <w:sz w:val="24"/>
                <w:szCs w:val="24"/>
                <w:lang w:val="en-US" w:eastAsia="zh-CN"/>
              </w:rPr>
              <w:t>住院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医师，浙江大学医学院附属第二医院；</w:t>
            </w:r>
          </w:p>
          <w:p w14:paraId="0FFE3E67">
            <w:pPr>
              <w:spacing w:line="440" w:lineRule="exac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蔡浩雷，排名6，副主任医师，浙江大学医学院附属第二医院；</w:t>
            </w:r>
          </w:p>
          <w:p w14:paraId="3043DF8B">
            <w:pPr>
              <w:spacing w:line="440" w:lineRule="exact"/>
              <w:rPr>
                <w:rFonts w:hint="eastAsia"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王兰天，排名7，副主任医师，浙江大学医学院附属第二医院；</w:t>
            </w:r>
          </w:p>
          <w:p w14:paraId="5B636460">
            <w:pPr>
              <w:spacing w:line="440" w:lineRule="exact"/>
              <w:rPr>
                <w:rFonts w:hint="default" w:eastAsia="FangSong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FangSong_GB2312"/>
                <w:bCs/>
                <w:sz w:val="24"/>
                <w:szCs w:val="24"/>
                <w:lang w:val="en-US" w:eastAsia="zh-CN"/>
              </w:rPr>
              <w:t>张波，排名8，主任医师，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浙江大学医学院附属第二医院；</w:t>
            </w:r>
          </w:p>
          <w:p w14:paraId="3B6C00E1">
            <w:pPr>
              <w:spacing w:line="440" w:lineRule="exac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楼建耀，排名9，主治医师，浙江大学医学院附属第二医院；</w:t>
            </w:r>
          </w:p>
          <w:p w14:paraId="489ED726">
            <w:pPr>
              <w:spacing w:line="440" w:lineRule="exact"/>
              <w:rPr>
                <w:rFonts w:hint="eastAsia" w:eastAsia="FangSong_GB2312"/>
                <w:bCs/>
                <w:sz w:val="24"/>
                <w:szCs w:val="24"/>
              </w:rPr>
            </w:pPr>
            <w:r>
              <w:rPr>
                <w:rFonts w:hint="eastAsia" w:eastAsia="FangSong_GB2312"/>
                <w:bCs/>
                <w:sz w:val="24"/>
                <w:szCs w:val="24"/>
              </w:rPr>
              <w:t>徐斌，排名10，主任医师，浙江大学医学院附属第二医院。</w:t>
            </w:r>
          </w:p>
          <w:p w14:paraId="49151667">
            <w:pPr>
              <w:spacing w:line="440" w:lineRule="exact"/>
              <w:rPr>
                <w:rFonts w:hint="default" w:eastAsia="FangSong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FangSong_GB2312"/>
                <w:bCs/>
                <w:sz w:val="24"/>
                <w:szCs w:val="24"/>
                <w:lang w:val="en-US" w:eastAsia="zh-CN"/>
              </w:rPr>
              <w:t>李超，排名11，副主任医师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，浙江大学医学院附属第二医院。</w:t>
            </w:r>
          </w:p>
        </w:tc>
      </w:tr>
      <w:tr w14:paraId="02AD8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6853C2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20608480">
            <w:pPr>
              <w:spacing w:line="440" w:lineRule="exact"/>
              <w:jc w:val="lef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eastAsia="FangSong_GB2312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浙江大学医学院附属第二医院</w:t>
            </w:r>
          </w:p>
          <w:p w14:paraId="2F80FE6E">
            <w:pPr>
              <w:spacing w:line="440" w:lineRule="exact"/>
              <w:jc w:val="left"/>
              <w:rPr>
                <w:rFonts w:eastAsia="FangSong_GB2312"/>
                <w:bCs/>
                <w:sz w:val="24"/>
                <w:szCs w:val="24"/>
              </w:rPr>
            </w:pPr>
            <w:r>
              <w:rPr>
                <w:rFonts w:eastAsia="FangSong_GB2312"/>
                <w:bCs/>
                <w:sz w:val="24"/>
                <w:szCs w:val="24"/>
              </w:rPr>
              <w:t>2.单位名称：</w:t>
            </w:r>
            <w:r>
              <w:rPr>
                <w:rFonts w:hint="eastAsia" w:eastAsia="FangSong_GB2312"/>
                <w:bCs/>
                <w:sz w:val="24"/>
                <w:szCs w:val="24"/>
              </w:rPr>
              <w:t>杭州市第一人民医院</w:t>
            </w:r>
          </w:p>
        </w:tc>
      </w:tr>
      <w:tr w14:paraId="08EAD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5550C668">
            <w:pPr>
              <w:jc w:val="center"/>
              <w:rPr>
                <w:rStyle w:val="37"/>
                <w:rFonts w:eastAsia="FangSong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FangSong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>
            <w:pPr>
              <w:contextualSpacing/>
              <w:jc w:val="center"/>
              <w:rPr>
                <w:rStyle w:val="37"/>
                <w:b w:val="0"/>
                <w:color w:val="auto"/>
              </w:rPr>
            </w:pPr>
            <w:r>
              <w:rPr>
                <w:rFonts w:hint="eastAsia" w:eastAsia="FangSong_GB2312"/>
              </w:rPr>
              <w:t>浙江大学</w:t>
            </w:r>
          </w:p>
        </w:tc>
      </w:tr>
      <w:tr w14:paraId="79044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56C0136">
            <w:pPr>
              <w:jc w:val="center"/>
              <w:rPr>
                <w:rStyle w:val="37"/>
                <w:rFonts w:eastAsia="FangSong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FangSong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13658FF5">
            <w:pPr>
              <w:ind w:firstLine="420"/>
              <w:contextualSpacing/>
              <w:rPr>
                <w:rFonts w:hint="eastAsia" w:eastAsia="FangSong_GB2312"/>
                <w:highlight w:val="none"/>
              </w:rPr>
            </w:pPr>
            <w:bookmarkStart w:id="1" w:name="OLE_LINK53"/>
            <w:r>
              <w:rPr>
                <w:rFonts w:hint="eastAsia" w:eastAsia="FangSong_GB2312"/>
                <w:highlight w:val="none"/>
              </w:rPr>
              <w:t>本成果实现了胰腺疾病研究范式的重大突破，创新应用功能组学解析构建“机制解析-技术突破-临床转化”三位一体综合诊疗体系。团队精准把握胰腺作为唯一兼具内外分泌功能脏器的特殊性，阐明胰腺肿瘤、胰腺炎及胰岛功能障碍</w:t>
            </w:r>
            <w:r>
              <w:rPr>
                <w:rFonts w:hint="eastAsia" w:eastAsia="FangSong_GB2312"/>
                <w:highlight w:val="none"/>
                <w:lang w:val="en-US" w:eastAsia="zh-CN"/>
              </w:rPr>
              <w:t>的</w:t>
            </w:r>
            <w:r>
              <w:rPr>
                <w:rFonts w:hint="eastAsia" w:eastAsia="FangSong_GB2312"/>
                <w:highlight w:val="none"/>
              </w:rPr>
              <w:t>功能调控网络，挖掘生物标志物，突破传统单一维度研究局限，产出系列自主知识产权成果，为提升防治水平提供战略引领。</w:t>
            </w:r>
          </w:p>
          <w:p w14:paraId="1F973582">
            <w:pPr>
              <w:ind w:firstLine="420"/>
              <w:contextualSpacing/>
              <w:rPr>
                <w:rFonts w:eastAsia="FangSong_GB2312"/>
              </w:rPr>
            </w:pPr>
            <w:r>
              <w:rPr>
                <w:rFonts w:hint="eastAsia" w:eastAsia="FangSong_GB2312"/>
              </w:rPr>
              <w:t>在</w:t>
            </w:r>
            <w:r>
              <w:rPr>
                <w:rFonts w:hint="eastAsia" w:eastAsia="FangSong_GB2312"/>
                <w:lang w:val="en-US" w:eastAsia="zh-CN"/>
              </w:rPr>
              <w:t>临床转化</w:t>
            </w:r>
            <w:r>
              <w:rPr>
                <w:rFonts w:hint="eastAsia" w:eastAsia="FangSong_GB2312"/>
              </w:rPr>
              <w:t>领域</w:t>
            </w:r>
            <w:r>
              <w:rPr>
                <w:rFonts w:hint="eastAsia" w:eastAsia="FangSong_GB2312"/>
                <w:lang w:eastAsia="zh-CN"/>
              </w:rPr>
              <w:t>，</w:t>
            </w:r>
            <w:r>
              <w:rPr>
                <w:rFonts w:hint="eastAsia" w:eastAsia="FangSong_GB2312"/>
              </w:rPr>
              <w:t>团队</w:t>
            </w:r>
            <w:r>
              <w:rPr>
                <w:rFonts w:hint="eastAsia" w:eastAsia="FangSong_GB2312"/>
                <w:lang w:val="en-US" w:eastAsia="zh-CN"/>
              </w:rPr>
              <w:t>建立了</w:t>
            </w:r>
            <w:r>
              <w:rPr>
                <w:rFonts w:hint="eastAsia" w:eastAsia="FangSong_GB2312"/>
              </w:rPr>
              <w:t>胰腺内外分泌功能联动的研究体系。</w:t>
            </w:r>
            <w:bookmarkEnd w:id="1"/>
            <w:r>
              <w:rPr>
                <w:rFonts w:hint="eastAsia" w:eastAsia="FangSong_GB2312"/>
              </w:rPr>
              <w:t>首创PVP-SPIO/Exendin4靶向MRI示踪剂，全球首次实现活体胰岛移植物精准示踪，获国际胰岛移植大会技术奖；国际率先开展胰腺癌源性糖尿病（PCAND）功能组学研究，锁定VNN-1/MMP9/SRI/NEK2/PLK1等核心早诊标志物</w:t>
            </w:r>
            <w:r>
              <w:rPr>
                <w:rFonts w:hint="eastAsia" w:eastAsia="FangSong_GB2312"/>
                <w:lang w:eastAsia="zh-CN"/>
              </w:rPr>
              <w:t>，</w:t>
            </w:r>
            <w:r>
              <w:rPr>
                <w:rFonts w:hint="eastAsia" w:eastAsia="FangSong_GB2312"/>
                <w:lang w:val="en-US" w:eastAsia="zh-CN"/>
              </w:rPr>
              <w:t>代表作</w:t>
            </w:r>
            <w:r>
              <w:rPr>
                <w:rFonts w:hint="eastAsia" w:eastAsia="FangSong_GB2312"/>
              </w:rPr>
              <w:t>他引</w:t>
            </w:r>
            <w:r>
              <w:rPr>
                <w:rFonts w:hint="eastAsia" w:eastAsia="FangSong_GB2312"/>
                <w:lang w:val="en-US" w:eastAsia="zh-CN"/>
              </w:rPr>
              <w:t>481次</w:t>
            </w:r>
            <w:r>
              <w:rPr>
                <w:rFonts w:hint="eastAsia" w:eastAsia="FangSong_GB2312"/>
              </w:rPr>
              <w:t>，被</w:t>
            </w:r>
            <w:r>
              <w:rPr>
                <w:rFonts w:hint="eastAsia" w:eastAsia="FangSong_GB2312"/>
                <w:lang w:val="en-US" w:eastAsia="zh-CN"/>
              </w:rPr>
              <w:t>认为是胰腺</w:t>
            </w:r>
            <w:r>
              <w:rPr>
                <w:rFonts w:hint="eastAsia" w:eastAsia="FangSong_GB2312"/>
              </w:rPr>
              <w:t>早癌筛查重大突破；自主构建PCAND转录组数据库成为同行深度挖掘胰腺早癌标志物的重要资源。</w:t>
            </w:r>
          </w:p>
          <w:p w14:paraId="7A1B5676">
            <w:pPr>
              <w:ind w:firstLine="420"/>
              <w:contextualSpacing/>
              <w:rPr>
                <w:rFonts w:hint="eastAsia" w:eastAsia="FangSong_GB2312"/>
              </w:rPr>
            </w:pPr>
            <w:r>
              <w:rPr>
                <w:rFonts w:hint="eastAsia" w:eastAsia="FangSong_GB2312"/>
              </w:rPr>
              <w:t>在临床治疗领域</w:t>
            </w:r>
            <w:r>
              <w:rPr>
                <w:rFonts w:hint="eastAsia" w:eastAsia="FangSong_GB2312"/>
                <w:lang w:eastAsia="zh-CN"/>
              </w:rPr>
              <w:t>，针对胰腺良性肿瘤实施保留功能精准切除术；系统评估进展期胰腺癌扩大根治术，围手术期死亡率及严重并发症发生率控制达国际顶尖水平，发表9篇胰腺精准手术权威论文。基于长期围手术期评估与随访数据，自2012年开拓进展期胰腺癌多模态评估与综合治疗，通过数字化影像与个体化生物学分期指导临床决策，获省级重大国际合作项目支持。</w:t>
            </w:r>
          </w:p>
          <w:p w14:paraId="523987B3">
            <w:pPr>
              <w:ind w:firstLine="420"/>
              <w:contextualSpacing/>
              <w:rPr>
                <w:rFonts w:hint="eastAsia" w:eastAsia="FangSong_GB2312"/>
              </w:rPr>
            </w:pPr>
            <w:r>
              <w:rPr>
                <w:rFonts w:hint="eastAsia" w:eastAsia="FangSong_GB2312"/>
              </w:rPr>
              <w:t>团队深耕近30年，发表SCI论文百余篇，主持863计划项目1项、国家自然科学基金19项、省部级五百万</w:t>
            </w:r>
            <w:r>
              <w:rPr>
                <w:rFonts w:hint="eastAsia" w:eastAsia="FangSong_GB2312"/>
                <w:lang w:val="en-US" w:eastAsia="zh-CN"/>
              </w:rPr>
              <w:t>数字肿瘤</w:t>
            </w:r>
            <w:r>
              <w:rPr>
                <w:rFonts w:hint="eastAsia" w:eastAsia="FangSong_GB2312"/>
              </w:rPr>
              <w:t>项目1项。研究成果</w:t>
            </w:r>
            <w:r>
              <w:rPr>
                <w:rFonts w:hint="eastAsia" w:eastAsia="FangSong_GB2312"/>
                <w:lang w:val="en-US" w:eastAsia="zh-CN"/>
              </w:rPr>
              <w:t>对</w:t>
            </w:r>
            <w:r>
              <w:rPr>
                <w:rFonts w:hint="eastAsia" w:eastAsia="FangSong_GB2312"/>
              </w:rPr>
              <w:t>提升胰腺癌一、二级预防水平，推动数字化诊疗体系构建，具有重大意义。</w:t>
            </w:r>
          </w:p>
          <w:p w14:paraId="0B7740F9">
            <w:pPr>
              <w:ind w:firstLine="420"/>
              <w:contextualSpacing/>
              <w:rPr>
                <w:rStyle w:val="37"/>
                <w:rFonts w:hint="eastAsia" w:eastAsia="FangSong_GB2312"/>
                <w:b w:val="0"/>
                <w:bCs w:val="0"/>
                <w:color w:val="auto"/>
                <w:sz w:val="21"/>
                <w:szCs w:val="20"/>
              </w:rPr>
            </w:pPr>
            <w:r>
              <w:rPr>
                <w:rFonts w:hint="eastAsia" w:eastAsia="FangSong_GB2312"/>
              </w:rPr>
              <w:t>申报内容真实，提名2024年度浙江省科学技术进步奖一等奖。</w:t>
            </w:r>
          </w:p>
        </w:tc>
      </w:tr>
    </w:tbl>
    <w:p w14:paraId="3A45F310">
      <w:pPr>
        <w:adjustRightInd w:val="0"/>
        <w:snapToGrid w:val="0"/>
        <w:spacing w:line="560" w:lineRule="exact"/>
        <w:rPr>
          <w:rFonts w:eastAsia="FangSong_GB2312"/>
          <w:sz w:val="32"/>
          <w:szCs w:val="32"/>
        </w:rPr>
      </w:pPr>
    </w:p>
    <w:p w14:paraId="334AD278">
      <w:pPr>
        <w:adjustRightInd w:val="0"/>
        <w:snapToGrid w:val="0"/>
        <w:spacing w:line="560" w:lineRule="exact"/>
        <w:rPr>
          <w:rFonts w:eastAsia="FangSong_GB2312"/>
          <w:sz w:val="32"/>
          <w:szCs w:val="32"/>
        </w:rPr>
        <w:sectPr>
          <w:pgSz w:w="12242" w:h="15842"/>
          <w:pgMar w:top="1247" w:right="1418" w:bottom="1247" w:left="1135" w:header="851" w:footer="794" w:gutter="0"/>
          <w:cols w:space="720" w:num="1"/>
          <w:docGrid w:type="lines" w:linePitch="312" w:charSpace="0"/>
        </w:sectPr>
      </w:pPr>
    </w:p>
    <w:p w14:paraId="7F27440F">
      <w:pPr>
        <w:pStyle w:val="4"/>
        <w:jc w:val="center"/>
        <w:rPr>
          <w:rFonts w:eastAsia="方正黑体简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bookmarkStart w:id="2" w:name="OLE_LINK40"/>
      <w:r>
        <w:rPr>
          <w:rFonts w:hint="eastAsia" w:hAnsi="方正黑体简体" w:eastAsia="方正黑体简体" w:cs="方正黑体简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附表1：主要知识产权和标准规范目录</w:t>
      </w:r>
    </w:p>
    <w:tbl>
      <w:tblPr>
        <w:tblStyle w:val="16"/>
        <w:tblW w:w="145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2576"/>
        <w:gridCol w:w="935"/>
        <w:gridCol w:w="1843"/>
        <w:gridCol w:w="1275"/>
        <w:gridCol w:w="1418"/>
        <w:gridCol w:w="1276"/>
        <w:gridCol w:w="2268"/>
        <w:gridCol w:w="1694"/>
      </w:tblGrid>
      <w:tr w14:paraId="3B759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AF2FB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知识产权</w:t>
            </w:r>
          </w:p>
          <w:p w14:paraId="41F84081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（标准规范）类别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F6CFA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知识产权（标准规范）具体名称</w:t>
            </w:r>
          </w:p>
        </w:tc>
        <w:tc>
          <w:tcPr>
            <w:tcW w:w="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4A40A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国家</w:t>
            </w:r>
          </w:p>
          <w:p w14:paraId="5465D8CA">
            <w:pPr>
              <w:jc w:val="center"/>
              <w:rPr>
                <w:rFonts w:eastAsia="FangSong_GB2312"/>
                <w:bCs/>
                <w:snapToGrid w:val="0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bCs/>
                <w:snapToGrid w:val="0"/>
                <w:color w:val="000000" w:themeColor="text1"/>
                <w:kern w:val="0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（地区）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AB052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授权号</w:t>
            </w:r>
          </w:p>
          <w:p w14:paraId="008B2C0F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（标准规范编号）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5EEFF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授权</w:t>
            </w:r>
          </w:p>
          <w:p w14:paraId="284EABA5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（标准发布）</w:t>
            </w:r>
          </w:p>
          <w:p w14:paraId="6D1B934F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F2AA5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证书编号（标准规范批准发布部门）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3D9D3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权利人（标准规范起草单位）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86458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发明人（标准规范起草人）</w:t>
            </w:r>
          </w:p>
        </w:tc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E64FF">
            <w:pPr>
              <w:jc w:val="center"/>
              <w:rPr>
                <w:rFonts w:eastAsia="FangSong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发明专利（标准规范）有效状态</w:t>
            </w:r>
          </w:p>
        </w:tc>
      </w:tr>
      <w:tr w14:paraId="25C2E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39DED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>发明专利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CE604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>基于药物敏感性数据的多组学生物标志物筛选方法和装置</w:t>
            </w:r>
          </w:p>
        </w:tc>
        <w:tc>
          <w:tcPr>
            <w:tcW w:w="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390B8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>中国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BF1CD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>/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ACBE2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>2</w:t>
            </w:r>
            <w:r>
              <w:rPr>
                <w:rFonts w:hint="eastAsia" w:eastAsia="FangSong_GB2312"/>
                <w:sz w:val="24"/>
                <w:szCs w:val="24"/>
                <w:lang w:val="en-US" w:eastAsia="zh-CN"/>
              </w:rPr>
              <w:t>023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981D9">
            <w:pPr>
              <w:jc w:val="center"/>
              <w:rPr>
                <w:rFonts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 xml:space="preserve">CN202310447492.8 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565C8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>浙江大学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6277A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  <w:lang w:val="en-US" w:eastAsia="zh-CN"/>
              </w:rPr>
              <w:t>吴健，刘伟泽，徐红霞，郑波，胡朝文，范逸群，</w:t>
            </w:r>
            <w:r>
              <w:rPr>
                <w:rFonts w:hint="eastAsia" w:eastAsia="FangSong_GB2312"/>
                <w:sz w:val="24"/>
                <w:szCs w:val="24"/>
              </w:rPr>
              <w:t>吴育连</w:t>
            </w:r>
          </w:p>
        </w:tc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ED7E9">
            <w:pPr>
              <w:jc w:val="center"/>
              <w:rPr>
                <w:rFonts w:hint="eastAsia" w:eastAsia="FangSong_GB2312"/>
                <w:sz w:val="24"/>
                <w:szCs w:val="24"/>
              </w:rPr>
            </w:pPr>
            <w:r>
              <w:rPr>
                <w:rFonts w:hint="eastAsia" w:eastAsia="FangSong_GB2312"/>
                <w:sz w:val="24"/>
                <w:szCs w:val="24"/>
              </w:rPr>
              <w:t>有效</w:t>
            </w:r>
          </w:p>
        </w:tc>
      </w:tr>
      <w:tr w14:paraId="26429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4BE4E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</w:rPr>
              <w:t>发明专利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E02DF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</w:rPr>
              <w:t>Exendin-4偶联超顺磁性氧化铁纳米颗粒制法</w:t>
            </w:r>
          </w:p>
        </w:tc>
        <w:tc>
          <w:tcPr>
            <w:tcW w:w="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DB9DB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</w:rPr>
              <w:t>中国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30081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</w:rPr>
              <w:t>/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B44AE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33CFE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FangSong_GB2312"/>
                <w:sz w:val="24"/>
                <w:szCs w:val="24"/>
              </w:rPr>
              <w:t>CN 201110083936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81A8E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</w:rPr>
              <w:t>浙江大学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0F98D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</w:rPr>
              <w:t>吴育连，张波，翟传鑫</w:t>
            </w:r>
          </w:p>
        </w:tc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BF0F2">
            <w:pPr>
              <w:jc w:val="center"/>
              <w:rPr>
                <w:rFonts w:hint="eastAsia" w:ascii="Times New Roman" w:hAnsi="Times New Roman" w:eastAsia="FangSong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FangSong_GB2312"/>
                <w:sz w:val="24"/>
                <w:szCs w:val="24"/>
                <w:lang w:val="en-US" w:eastAsia="zh-CN"/>
              </w:rPr>
              <w:t>失</w:t>
            </w:r>
            <w:r>
              <w:rPr>
                <w:rFonts w:hint="eastAsia" w:eastAsia="FangSong_GB2312"/>
                <w:sz w:val="24"/>
                <w:szCs w:val="24"/>
              </w:rPr>
              <w:t>效</w:t>
            </w:r>
          </w:p>
        </w:tc>
      </w:tr>
    </w:tbl>
    <w:p w14:paraId="7FE1AE16">
      <w:pP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5842" w:h="12242" w:orient="landscape"/>
          <w:pgMar w:top="1418" w:right="1247" w:bottom="1135" w:left="1247" w:header="851" w:footer="794" w:gutter="0"/>
          <w:cols w:space="720" w:num="1"/>
          <w:docGrid w:type="lines" w:linePitch="312" w:charSpace="0"/>
        </w:sectPr>
      </w:pPr>
      <w: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bookmarkEnd w:id="2"/>
    <w:p w14:paraId="3F21F773">
      <w:pPr>
        <w:pStyle w:val="4"/>
        <w:jc w:val="center"/>
        <w:rPr>
          <w:rFonts w:eastAsia="方正黑体简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hAnsi="方正黑体简体" w:eastAsia="方正黑体简体" w:cs="方正黑体简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附表2：代表性论文专著目录</w:t>
      </w:r>
    </w:p>
    <w:tbl>
      <w:tblPr>
        <w:tblStyle w:val="16"/>
        <w:tblW w:w="83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1"/>
        <w:gridCol w:w="2551"/>
        <w:gridCol w:w="1134"/>
        <w:gridCol w:w="709"/>
        <w:gridCol w:w="814"/>
      </w:tblGrid>
      <w:tr w14:paraId="2E6340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exact"/>
          <w:jc w:val="center"/>
        </w:trPr>
        <w:tc>
          <w:tcPr>
            <w:tcW w:w="3141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EBDD0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作</w:t>
            </w:r>
            <w:r>
              <w:rPr>
                <w:rFonts w:eastAsia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者</w:t>
            </w:r>
          </w:p>
        </w:tc>
        <w:tc>
          <w:tcPr>
            <w:tcW w:w="255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48F88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论文专著名称</w:t>
            </w:r>
            <w:r>
              <w:rPr>
                <w:rFonts w:eastAsia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刊物</w:t>
            </w:r>
          </w:p>
        </w:tc>
        <w:tc>
          <w:tcPr>
            <w:tcW w:w="113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0" w:type="dxa"/>
              <w:right w:w="0" w:type="dxa"/>
            </w:tcMar>
            <w:vAlign w:val="center"/>
          </w:tcPr>
          <w:p w14:paraId="47E32C5F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年卷</w:t>
            </w:r>
          </w:p>
          <w:p w14:paraId="712A1BCA">
            <w:pPr>
              <w:jc w:val="center"/>
              <w:rPr>
                <w:rFonts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页码</w:t>
            </w:r>
          </w:p>
        </w:tc>
        <w:tc>
          <w:tcPr>
            <w:tcW w:w="709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0" w:type="dxa"/>
              <w:right w:w="0" w:type="dxa"/>
            </w:tcMar>
            <w:vAlign w:val="center"/>
          </w:tcPr>
          <w:p w14:paraId="77790812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发表</w:t>
            </w:r>
          </w:p>
          <w:p w14:paraId="793785C2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  <w:p w14:paraId="621360FB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（年、月）</w:t>
            </w:r>
          </w:p>
        </w:tc>
        <w:tc>
          <w:tcPr>
            <w:tcW w:w="81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0" w:type="dxa"/>
              <w:right w:w="0" w:type="dxa"/>
            </w:tcMar>
            <w:vAlign w:val="center"/>
          </w:tcPr>
          <w:p w14:paraId="1C7C609E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他引</w:t>
            </w:r>
          </w:p>
          <w:p w14:paraId="6A93424C">
            <w:pPr>
              <w:jc w:val="center"/>
              <w:rPr>
                <w:rFonts w:eastAsia="FangSong_GB2312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 w:cs="FangSong_GB2312"/>
                <w:color w:val="000000" w:themeColor="text1"/>
                <w:sz w:val="24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总次数</w:t>
            </w:r>
          </w:p>
        </w:tc>
      </w:tr>
      <w:tr w14:paraId="6B3655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1B8AC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Xiaoman He, Yongzhou Li, Qing Chen, Lei Zheng, Jianyao Lou, Chuanshuai Lin, Jiali Gong, Yi Zhu, Yulian Wu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673D4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O-GlcNAcylation and stablization of SIRT7 promote pancreatic cancer progression by blocking the SIRT7-REGγ interaction/Cell death and differentiation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66195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2022:1970-1981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A7B9B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2022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4A122">
            <w:pPr>
              <w:jc w:val="center"/>
              <w:rPr>
                <w:rFonts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</w:tr>
      <w:tr w14:paraId="2B9195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DA769A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Xiawei Li, Yidong Wan, Jianyao Lou, Lei Xu, Aiguang Shi, Litao Yang, Yiqun Fan, Jing Yang, Junjie Huang, Yulian Wu, Tianye Niu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04CDA8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Preoperative recurrence prediction in pancreatic ductal adenocarcinoma after radical resection using radiomics of diagnostic computed tomography/EClinicalMedicine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528C74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2021:101215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E349F4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2021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991399">
            <w:pPr>
              <w:jc w:val="center"/>
              <w:rPr>
                <w:rFonts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</w:tr>
      <w:tr w14:paraId="73399E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64DECF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Yizhao Zhou, Yi Zhu, Xin Dong, Guodong Cao, Yongzhou Li, Yiqun Fan, Qing Chen, Haolei Cai, Yulian Wu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C4A22F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Exosomes Derived from Pancreatic Cancer Cells Induce Osteoclast Differentiation Through the miR125a-5p/TNFRSFIB Pathway/OncoTargets and Therapy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8ED000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2021:2727-2739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CE4B45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2021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2A638C">
            <w:pPr>
              <w:jc w:val="center"/>
              <w:rPr>
                <w:rFonts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</w:tr>
      <w:tr w14:paraId="1DFD70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2C742C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Yuefeng Zhang, Shifei Huang, Pengping Li, Qing Chen, Yongzhou Li, Yizhao Zhou, Lantian Wang, Muxing Kang, Bo Zhang, Bin Yang, Xin Dong, Yulian Wu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4CD8BA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Pancreatic cancer-derived exosomes suppress the production of GIP and GLP-1 from STC-1</w:t>
            </w:r>
            <w:r>
              <w:rPr>
                <w:rFonts w:ascii="Cambria Math" w:hAnsi="Cambria Math" w:eastAsia="FangSong_GB2312" w:cs="Cambria Math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 </w:t>
            </w: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cells in vitro by down-regulating the PCSK1/3/Cancer letters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512156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2018:190-200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E31D37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AF0FAF">
            <w:pPr>
              <w:jc w:val="center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</w:tr>
      <w:tr w14:paraId="6ABD76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430149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Chao Li, Bin Yang, Zhihao Xu, Eric Boivin, Mazzen Black, Wenlong Huang, Baoyou Xu, Ping Wu, Bo Zhang, Xian Li, Kunsong Chen, Yulian Wu, Gina R Rayat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D91BD8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highlight w:val="none"/>
              </w:rPr>
              <w:t>Protective effect of cyanidin-3-O-glucoside on neonatal porcine islets/J Endocrinol.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99C9D1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2017:237-249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6F0EB8">
            <w:pPr>
              <w:jc w:val="left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D6B9F3">
            <w:pPr>
              <w:jc w:val="center"/>
              <w:rPr>
                <w:rFonts w:hint="eastAsia" w:ascii="Times New Roman" w:hAnsi="Times New Roman" w:eastAsia="FangSong_GB2312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</w:tr>
      <w:tr w14:paraId="444C3A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F165B9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Muxing Kang, Wenjie Qin, Miranbieke Buya, Xin Dong, Wen Zheng, Wenjie Lu, Jian Chen, Qingqu Guo, Yulian Wu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D84791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VNN1, a potential biomarker for pancreatic cancer-associated new-onset diabetes, aggravates paraneoplastic islet dysfunction by increasing oxidative stress/ Cancer letters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3E6BF5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2016:241-50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C04727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76A95D">
            <w:pPr>
              <w:jc w:val="center"/>
              <w:rPr>
                <w:rFonts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</w:tr>
      <w:tr w14:paraId="4ADCD0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62B2F9">
            <w:pPr>
              <w:jc w:val="left"/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Xin Dong, Bo Zhang, Muxing Kang, Ying Chen, Qingqu Guo, Yulian Wu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2D15C7">
            <w:pPr>
              <w:jc w:val="left"/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Analysis of pancreatic fistula according to the International Study Group on Pancreatic Fistula classification scheme for 294 patients who underwent pancreaticoduodenectomy in a single center/Pancreas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C2303D">
            <w:pPr>
              <w:jc w:val="left"/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2011:222-8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2FD0F0">
            <w:pPr>
              <w:jc w:val="left"/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2011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4520E9B">
            <w:pPr>
              <w:jc w:val="center"/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</w:tr>
      <w:tr w14:paraId="3C0F2C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314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1F790B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Hai Huang, Xin Dong, Muxing Kang, Bin Xu, Ying Chen, Bo Zhang, Jian Chen, Qiuping Xie, Yulian Wu</w:t>
            </w:r>
          </w:p>
        </w:tc>
        <w:tc>
          <w:tcPr>
            <w:tcW w:w="2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7338AB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Novel Blood Biomarkers of Pancreatic Cancer </w:t>
            </w:r>
            <w:r>
              <w:rPr>
                <w:rFonts w:ascii="Courier New" w:hAnsi="Courier New" w:eastAsia="FangSong_GB2312" w:cs="Courier New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Associated Diabetes Mellitus Identified by Peripheral Blood</w:t>
            </w:r>
            <w:r>
              <w:rPr>
                <w:rFonts w:ascii="Courier New" w:hAnsi="Courier New" w:eastAsia="FangSong_GB2312" w:cs="Courier New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Based Gene Expression Profiles/Am J Gastroenterol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51CF43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2010:1661-9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892C32">
            <w:pPr>
              <w:jc w:val="left"/>
              <w:rPr>
                <w:rFonts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2010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715D24">
            <w:pPr>
              <w:jc w:val="center"/>
              <w:rPr>
                <w:rFonts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FangSong_GB2312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170</w:t>
            </w:r>
          </w:p>
        </w:tc>
      </w:tr>
      <w:tr w14:paraId="534367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  <w:jc w:val="center"/>
        </w:trPr>
        <w:tc>
          <w:tcPr>
            <w:tcW w:w="753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6EA4B6BB">
            <w:pPr>
              <w:jc w:val="center"/>
              <w:rPr>
                <w:b/>
                <w:bCs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b/>
                <w:bCs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合</w:t>
            </w:r>
            <w:r>
              <w:rPr>
                <w:b/>
                <w:bCs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宋体"/>
                <w:b/>
                <w:bCs/>
                <w:color w:val="000000" w:themeColor="text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计</w:t>
            </w:r>
          </w:p>
        </w:tc>
        <w:tc>
          <w:tcPr>
            <w:tcW w:w="81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40032230">
            <w:pPr>
              <w:jc w:val="center"/>
              <w:rPr>
                <w:rFonts w:hint="default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481</w:t>
            </w:r>
          </w:p>
        </w:tc>
      </w:tr>
    </w:tbl>
    <w:p w14:paraId="1E7137A5"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8DFD3FA">
      <w:pPr>
        <w:adjustRightInd w:val="0"/>
        <w:snapToGrid w:val="0"/>
        <w:spacing w:line="560" w:lineRule="exact"/>
        <w:rPr>
          <w:rFonts w:eastAsia="FangSong_GB2312"/>
          <w:sz w:val="32"/>
          <w:szCs w:val="32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0F8BCD6-4790-44F4-9321-66456C5278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530034C-D1B6-48A7-932E-5169A35826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B85B706-C937-41FD-9D3E-CABE748955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D4EC836-44C4-46F9-966D-6810B9954B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79BA063-EF69-47A5-AA96-641E9B9C3F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50C9571-29D4-4311-B18A-38AA35D8A33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040FD9A-E7FC-43EA-A9F6-0C0685471F4F}"/>
  </w:font>
  <w:font w:name="FangSong_GB2312">
    <w:altName w:val="仿宋_GB2312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A59D92DD-6867-4471-A8A0-CF815B5C9CF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9" w:fontKey="{9606384C-60E3-4F12-B3CB-83534C52897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4A6EC1C-74E7-4939-B21F-99157671131F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59F1995D-ED44-4F7D-A495-AC76200C887E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2" w:fontKey="{523C07E1-18F2-4CD5-A970-BDDBCA23B4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B22BDE4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CEF13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5AFD8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A290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0F4DE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87C2D"/>
    <w:rsid w:val="000929AE"/>
    <w:rsid w:val="000A0FE4"/>
    <w:rsid w:val="000A45D9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168D"/>
    <w:rsid w:val="00165962"/>
    <w:rsid w:val="0017168F"/>
    <w:rsid w:val="00171E69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2E8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8468B"/>
    <w:rsid w:val="0029509E"/>
    <w:rsid w:val="00296134"/>
    <w:rsid w:val="002A2925"/>
    <w:rsid w:val="002A2F1C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0657E"/>
    <w:rsid w:val="00311F89"/>
    <w:rsid w:val="003125EF"/>
    <w:rsid w:val="00326352"/>
    <w:rsid w:val="00330554"/>
    <w:rsid w:val="00331B99"/>
    <w:rsid w:val="00333CCE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5FEE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33B59"/>
    <w:rsid w:val="00442705"/>
    <w:rsid w:val="00444A55"/>
    <w:rsid w:val="0044700B"/>
    <w:rsid w:val="0044760A"/>
    <w:rsid w:val="00453528"/>
    <w:rsid w:val="00453C0E"/>
    <w:rsid w:val="00461A90"/>
    <w:rsid w:val="00466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D74AE"/>
    <w:rsid w:val="004E11C6"/>
    <w:rsid w:val="004E36AB"/>
    <w:rsid w:val="004F503B"/>
    <w:rsid w:val="004F551A"/>
    <w:rsid w:val="004F768A"/>
    <w:rsid w:val="005002DF"/>
    <w:rsid w:val="00500EBD"/>
    <w:rsid w:val="00501B58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2FB6"/>
    <w:rsid w:val="005563CE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0E2D"/>
    <w:rsid w:val="005E261D"/>
    <w:rsid w:val="005E49A6"/>
    <w:rsid w:val="005E6D32"/>
    <w:rsid w:val="005F0DC8"/>
    <w:rsid w:val="00600A21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0D90"/>
    <w:rsid w:val="006546AC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6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059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05021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E3CCC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582C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402C6"/>
    <w:rsid w:val="00A5008B"/>
    <w:rsid w:val="00A65CD4"/>
    <w:rsid w:val="00A70F4C"/>
    <w:rsid w:val="00A736E3"/>
    <w:rsid w:val="00A95C04"/>
    <w:rsid w:val="00AA6478"/>
    <w:rsid w:val="00AA6A67"/>
    <w:rsid w:val="00AB2670"/>
    <w:rsid w:val="00AB2B0F"/>
    <w:rsid w:val="00AC096E"/>
    <w:rsid w:val="00AC3A8A"/>
    <w:rsid w:val="00AC5736"/>
    <w:rsid w:val="00AC69B7"/>
    <w:rsid w:val="00AC7691"/>
    <w:rsid w:val="00AD689E"/>
    <w:rsid w:val="00AD7D6F"/>
    <w:rsid w:val="00AE5A16"/>
    <w:rsid w:val="00AE618F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7D3A"/>
    <w:rsid w:val="00B60513"/>
    <w:rsid w:val="00B63A00"/>
    <w:rsid w:val="00B651CC"/>
    <w:rsid w:val="00B673A9"/>
    <w:rsid w:val="00B73F27"/>
    <w:rsid w:val="00B74C14"/>
    <w:rsid w:val="00B92BAD"/>
    <w:rsid w:val="00B9520A"/>
    <w:rsid w:val="00B979F5"/>
    <w:rsid w:val="00BA07A7"/>
    <w:rsid w:val="00BA3056"/>
    <w:rsid w:val="00BA7CF6"/>
    <w:rsid w:val="00BB47F3"/>
    <w:rsid w:val="00BB5C01"/>
    <w:rsid w:val="00BC0513"/>
    <w:rsid w:val="00BD0ED0"/>
    <w:rsid w:val="00BE7259"/>
    <w:rsid w:val="00C10571"/>
    <w:rsid w:val="00C14B11"/>
    <w:rsid w:val="00C24E7B"/>
    <w:rsid w:val="00C36E42"/>
    <w:rsid w:val="00C47D4B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15B"/>
    <w:rsid w:val="00C83D98"/>
    <w:rsid w:val="00C87EB0"/>
    <w:rsid w:val="00C9140D"/>
    <w:rsid w:val="00C92139"/>
    <w:rsid w:val="00C94906"/>
    <w:rsid w:val="00CA0830"/>
    <w:rsid w:val="00CA08E7"/>
    <w:rsid w:val="00CA0BB3"/>
    <w:rsid w:val="00CA21F2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342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E5D70"/>
    <w:rsid w:val="00DF02D4"/>
    <w:rsid w:val="00DF2AD8"/>
    <w:rsid w:val="00DF7FCB"/>
    <w:rsid w:val="00E066BD"/>
    <w:rsid w:val="00E1736F"/>
    <w:rsid w:val="00E17FF5"/>
    <w:rsid w:val="00E26009"/>
    <w:rsid w:val="00E3162A"/>
    <w:rsid w:val="00E33A93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15AD6"/>
    <w:rsid w:val="00F23CF0"/>
    <w:rsid w:val="00F3777D"/>
    <w:rsid w:val="00F45942"/>
    <w:rsid w:val="00F45AE1"/>
    <w:rsid w:val="00F5192E"/>
    <w:rsid w:val="00F53F01"/>
    <w:rsid w:val="00F57B98"/>
    <w:rsid w:val="00F57D63"/>
    <w:rsid w:val="00F640B5"/>
    <w:rsid w:val="00F67176"/>
    <w:rsid w:val="00F711B9"/>
    <w:rsid w:val="00F765BA"/>
    <w:rsid w:val="00F81F40"/>
    <w:rsid w:val="00F908A6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E6CBF"/>
    <w:rsid w:val="00FF48B9"/>
    <w:rsid w:val="00FF49EB"/>
    <w:rsid w:val="01680748"/>
    <w:rsid w:val="0188586F"/>
    <w:rsid w:val="01A3073B"/>
    <w:rsid w:val="01FB06A5"/>
    <w:rsid w:val="02102371"/>
    <w:rsid w:val="025760E2"/>
    <w:rsid w:val="02883661"/>
    <w:rsid w:val="033A18A1"/>
    <w:rsid w:val="044F2C20"/>
    <w:rsid w:val="04A9605B"/>
    <w:rsid w:val="059576B4"/>
    <w:rsid w:val="05EE7AF0"/>
    <w:rsid w:val="06264A4A"/>
    <w:rsid w:val="063B5B78"/>
    <w:rsid w:val="078A03D3"/>
    <w:rsid w:val="07CA76CE"/>
    <w:rsid w:val="07FC0BA5"/>
    <w:rsid w:val="08027D7F"/>
    <w:rsid w:val="085B0DBB"/>
    <w:rsid w:val="08E12275"/>
    <w:rsid w:val="08E33793"/>
    <w:rsid w:val="08EC64B1"/>
    <w:rsid w:val="09424A0F"/>
    <w:rsid w:val="09434D9D"/>
    <w:rsid w:val="09793B17"/>
    <w:rsid w:val="09B554AF"/>
    <w:rsid w:val="09F92B1D"/>
    <w:rsid w:val="0A694752"/>
    <w:rsid w:val="0AB70FA0"/>
    <w:rsid w:val="0AD10D6A"/>
    <w:rsid w:val="0B397725"/>
    <w:rsid w:val="0B5E36D3"/>
    <w:rsid w:val="0B7C5079"/>
    <w:rsid w:val="0BB30987"/>
    <w:rsid w:val="0C3129E7"/>
    <w:rsid w:val="0C76193E"/>
    <w:rsid w:val="0CBA790E"/>
    <w:rsid w:val="0CC31D07"/>
    <w:rsid w:val="0D9D4A28"/>
    <w:rsid w:val="0DCA1AB9"/>
    <w:rsid w:val="0DD54741"/>
    <w:rsid w:val="0DF07EE3"/>
    <w:rsid w:val="0E643518"/>
    <w:rsid w:val="0F0F0CC3"/>
    <w:rsid w:val="0F102792"/>
    <w:rsid w:val="0F4218B1"/>
    <w:rsid w:val="0F8B118C"/>
    <w:rsid w:val="10344DD0"/>
    <w:rsid w:val="10633DCE"/>
    <w:rsid w:val="1069217B"/>
    <w:rsid w:val="107B4D5D"/>
    <w:rsid w:val="10A674B2"/>
    <w:rsid w:val="10DD4EBB"/>
    <w:rsid w:val="11142614"/>
    <w:rsid w:val="12AE0195"/>
    <w:rsid w:val="12F3000A"/>
    <w:rsid w:val="130A103D"/>
    <w:rsid w:val="13432C72"/>
    <w:rsid w:val="13985B17"/>
    <w:rsid w:val="13C156F5"/>
    <w:rsid w:val="1424184E"/>
    <w:rsid w:val="14CB5B87"/>
    <w:rsid w:val="152F6116"/>
    <w:rsid w:val="155C3CBE"/>
    <w:rsid w:val="15995F8A"/>
    <w:rsid w:val="15F93F79"/>
    <w:rsid w:val="162B62D2"/>
    <w:rsid w:val="16693DC2"/>
    <w:rsid w:val="167F02FB"/>
    <w:rsid w:val="16AD7FB9"/>
    <w:rsid w:val="17280D9D"/>
    <w:rsid w:val="17EDC74B"/>
    <w:rsid w:val="182868AE"/>
    <w:rsid w:val="183F1493"/>
    <w:rsid w:val="18B26D4D"/>
    <w:rsid w:val="18E75AFE"/>
    <w:rsid w:val="18F977E5"/>
    <w:rsid w:val="18FC4FBA"/>
    <w:rsid w:val="190768CF"/>
    <w:rsid w:val="196E7AEC"/>
    <w:rsid w:val="198D33F3"/>
    <w:rsid w:val="19A21151"/>
    <w:rsid w:val="19AF3334"/>
    <w:rsid w:val="19CC0EB7"/>
    <w:rsid w:val="19F5075E"/>
    <w:rsid w:val="1AAB4A91"/>
    <w:rsid w:val="1B0E4ACA"/>
    <w:rsid w:val="1B7751F8"/>
    <w:rsid w:val="1B8B48E8"/>
    <w:rsid w:val="1C3E3265"/>
    <w:rsid w:val="1C8659B7"/>
    <w:rsid w:val="1C9808FD"/>
    <w:rsid w:val="1D2422E4"/>
    <w:rsid w:val="1D8D4516"/>
    <w:rsid w:val="1D934311"/>
    <w:rsid w:val="1DB6582E"/>
    <w:rsid w:val="1ED0129B"/>
    <w:rsid w:val="1F053CF4"/>
    <w:rsid w:val="1F096FB1"/>
    <w:rsid w:val="1F533349"/>
    <w:rsid w:val="1F71BC3C"/>
    <w:rsid w:val="1FBF61FF"/>
    <w:rsid w:val="20BD1F44"/>
    <w:rsid w:val="210E5779"/>
    <w:rsid w:val="214135A7"/>
    <w:rsid w:val="21BF009D"/>
    <w:rsid w:val="22122EF1"/>
    <w:rsid w:val="22873147"/>
    <w:rsid w:val="229233C9"/>
    <w:rsid w:val="22B90D41"/>
    <w:rsid w:val="23737E65"/>
    <w:rsid w:val="23DA218B"/>
    <w:rsid w:val="244F5E85"/>
    <w:rsid w:val="245B161B"/>
    <w:rsid w:val="24A831AF"/>
    <w:rsid w:val="24D25A79"/>
    <w:rsid w:val="252F365E"/>
    <w:rsid w:val="25FE291E"/>
    <w:rsid w:val="263611B5"/>
    <w:rsid w:val="26783C60"/>
    <w:rsid w:val="27143262"/>
    <w:rsid w:val="27F522DB"/>
    <w:rsid w:val="286A7318"/>
    <w:rsid w:val="288F7729"/>
    <w:rsid w:val="29F90ABD"/>
    <w:rsid w:val="2A0D1A99"/>
    <w:rsid w:val="2A213392"/>
    <w:rsid w:val="2A5700B2"/>
    <w:rsid w:val="2AB27F6B"/>
    <w:rsid w:val="2AC96FF6"/>
    <w:rsid w:val="2B5E7BEB"/>
    <w:rsid w:val="2BCC3368"/>
    <w:rsid w:val="2C726632"/>
    <w:rsid w:val="2C9F3729"/>
    <w:rsid w:val="2CBC252D"/>
    <w:rsid w:val="2CC51381"/>
    <w:rsid w:val="2CDA604D"/>
    <w:rsid w:val="2D441354"/>
    <w:rsid w:val="2D5304A2"/>
    <w:rsid w:val="2D68079A"/>
    <w:rsid w:val="2DD87F45"/>
    <w:rsid w:val="2DF700D9"/>
    <w:rsid w:val="2E4550FC"/>
    <w:rsid w:val="2E4C7F04"/>
    <w:rsid w:val="2E514683"/>
    <w:rsid w:val="2E6E1CA0"/>
    <w:rsid w:val="2EBACCEC"/>
    <w:rsid w:val="2EBD433B"/>
    <w:rsid w:val="2F276578"/>
    <w:rsid w:val="2FF62EC1"/>
    <w:rsid w:val="2FFC7DCE"/>
    <w:rsid w:val="301F34FF"/>
    <w:rsid w:val="30286057"/>
    <w:rsid w:val="3271734E"/>
    <w:rsid w:val="327C753A"/>
    <w:rsid w:val="32C1444F"/>
    <w:rsid w:val="33072028"/>
    <w:rsid w:val="330A1ACB"/>
    <w:rsid w:val="34671B17"/>
    <w:rsid w:val="36685822"/>
    <w:rsid w:val="368F078E"/>
    <w:rsid w:val="374F01EB"/>
    <w:rsid w:val="376213FE"/>
    <w:rsid w:val="376D011C"/>
    <w:rsid w:val="37B254F5"/>
    <w:rsid w:val="38891DB8"/>
    <w:rsid w:val="389B5BEA"/>
    <w:rsid w:val="38A16843"/>
    <w:rsid w:val="398D772B"/>
    <w:rsid w:val="398E6CC1"/>
    <w:rsid w:val="398F4A84"/>
    <w:rsid w:val="398F5D75"/>
    <w:rsid w:val="399125CB"/>
    <w:rsid w:val="39A91FD3"/>
    <w:rsid w:val="3ABA7D5B"/>
    <w:rsid w:val="3B341131"/>
    <w:rsid w:val="3B3616FD"/>
    <w:rsid w:val="3BA65BED"/>
    <w:rsid w:val="3C4F4F38"/>
    <w:rsid w:val="3C9F6A2C"/>
    <w:rsid w:val="3CA5540E"/>
    <w:rsid w:val="3CE416AE"/>
    <w:rsid w:val="3D4E0105"/>
    <w:rsid w:val="3D6764E5"/>
    <w:rsid w:val="3DD50400"/>
    <w:rsid w:val="3DEA4B22"/>
    <w:rsid w:val="3DF06A2B"/>
    <w:rsid w:val="3E027FCA"/>
    <w:rsid w:val="3E82529D"/>
    <w:rsid w:val="3EAD0C0C"/>
    <w:rsid w:val="3F7FF403"/>
    <w:rsid w:val="3FB83E19"/>
    <w:rsid w:val="3FF54B72"/>
    <w:rsid w:val="410242EF"/>
    <w:rsid w:val="4184568E"/>
    <w:rsid w:val="41903339"/>
    <w:rsid w:val="41CC5A82"/>
    <w:rsid w:val="41DC1DA2"/>
    <w:rsid w:val="41F15E70"/>
    <w:rsid w:val="422F0C65"/>
    <w:rsid w:val="42A83EAC"/>
    <w:rsid w:val="42BF5395"/>
    <w:rsid w:val="42D92DA2"/>
    <w:rsid w:val="436C4015"/>
    <w:rsid w:val="43772DF4"/>
    <w:rsid w:val="43C35D22"/>
    <w:rsid w:val="43D025F5"/>
    <w:rsid w:val="441A20EA"/>
    <w:rsid w:val="443469F5"/>
    <w:rsid w:val="44FD328B"/>
    <w:rsid w:val="450F36EA"/>
    <w:rsid w:val="45280308"/>
    <w:rsid w:val="455A36D4"/>
    <w:rsid w:val="45B05309"/>
    <w:rsid w:val="462F56C6"/>
    <w:rsid w:val="472E36B4"/>
    <w:rsid w:val="477B49D4"/>
    <w:rsid w:val="479B2D0A"/>
    <w:rsid w:val="47A345BE"/>
    <w:rsid w:val="47F15329"/>
    <w:rsid w:val="48B76D8F"/>
    <w:rsid w:val="492E69B1"/>
    <w:rsid w:val="49DD2383"/>
    <w:rsid w:val="4AB42F1C"/>
    <w:rsid w:val="4AC97E97"/>
    <w:rsid w:val="4B515B2C"/>
    <w:rsid w:val="4C1F3EFD"/>
    <w:rsid w:val="4C4B55BC"/>
    <w:rsid w:val="4C59349D"/>
    <w:rsid w:val="4CA639F1"/>
    <w:rsid w:val="4CE34B9C"/>
    <w:rsid w:val="4D38031C"/>
    <w:rsid w:val="4D7A3CBA"/>
    <w:rsid w:val="4DC20621"/>
    <w:rsid w:val="4E0D521D"/>
    <w:rsid w:val="4EAD471B"/>
    <w:rsid w:val="4F900EEE"/>
    <w:rsid w:val="50EF43CF"/>
    <w:rsid w:val="51BA3724"/>
    <w:rsid w:val="51E235E4"/>
    <w:rsid w:val="52C670DA"/>
    <w:rsid w:val="535E0F14"/>
    <w:rsid w:val="53D15B2C"/>
    <w:rsid w:val="53D31D87"/>
    <w:rsid w:val="54676806"/>
    <w:rsid w:val="54AA5565"/>
    <w:rsid w:val="555F7761"/>
    <w:rsid w:val="557E53F1"/>
    <w:rsid w:val="56226E9B"/>
    <w:rsid w:val="5647129A"/>
    <w:rsid w:val="56D714C5"/>
    <w:rsid w:val="576942DD"/>
    <w:rsid w:val="57E61A10"/>
    <w:rsid w:val="57FF4FBB"/>
    <w:rsid w:val="58D36AC3"/>
    <w:rsid w:val="58DE7204"/>
    <w:rsid w:val="594E097A"/>
    <w:rsid w:val="598310D4"/>
    <w:rsid w:val="59F65C7E"/>
    <w:rsid w:val="5A554343"/>
    <w:rsid w:val="5A8042EB"/>
    <w:rsid w:val="5ACC4005"/>
    <w:rsid w:val="5B076365"/>
    <w:rsid w:val="5B417F1E"/>
    <w:rsid w:val="5B64133E"/>
    <w:rsid w:val="5B977DD2"/>
    <w:rsid w:val="5B9A4CA7"/>
    <w:rsid w:val="5BE661BF"/>
    <w:rsid w:val="5BF16B11"/>
    <w:rsid w:val="5CB33954"/>
    <w:rsid w:val="5D7A3760"/>
    <w:rsid w:val="5DDD66E6"/>
    <w:rsid w:val="5E941DB9"/>
    <w:rsid w:val="5F2D2C93"/>
    <w:rsid w:val="5FBF5A6B"/>
    <w:rsid w:val="5FC23025"/>
    <w:rsid w:val="6098413C"/>
    <w:rsid w:val="60C223CE"/>
    <w:rsid w:val="60E63616"/>
    <w:rsid w:val="60FB2C8B"/>
    <w:rsid w:val="61907CF7"/>
    <w:rsid w:val="61C548D6"/>
    <w:rsid w:val="63123A52"/>
    <w:rsid w:val="631877B6"/>
    <w:rsid w:val="63441F36"/>
    <w:rsid w:val="63EA4DF9"/>
    <w:rsid w:val="641941AB"/>
    <w:rsid w:val="64393A10"/>
    <w:rsid w:val="649E0E16"/>
    <w:rsid w:val="64C701D0"/>
    <w:rsid w:val="65501489"/>
    <w:rsid w:val="65683634"/>
    <w:rsid w:val="657E0B48"/>
    <w:rsid w:val="66264D37"/>
    <w:rsid w:val="662B15AE"/>
    <w:rsid w:val="67B37BBA"/>
    <w:rsid w:val="67CE75E6"/>
    <w:rsid w:val="67FA3CBD"/>
    <w:rsid w:val="67FF5FF1"/>
    <w:rsid w:val="686F3A8E"/>
    <w:rsid w:val="688D6DBF"/>
    <w:rsid w:val="68ED77E8"/>
    <w:rsid w:val="691B00F9"/>
    <w:rsid w:val="69BE70C4"/>
    <w:rsid w:val="69F831FA"/>
    <w:rsid w:val="6A2A1384"/>
    <w:rsid w:val="6A7D30C3"/>
    <w:rsid w:val="6AA11FFE"/>
    <w:rsid w:val="6AFEE48C"/>
    <w:rsid w:val="6B0655A6"/>
    <w:rsid w:val="6B5E0AAF"/>
    <w:rsid w:val="6B813B16"/>
    <w:rsid w:val="6BD31768"/>
    <w:rsid w:val="6BE65F91"/>
    <w:rsid w:val="6C260C93"/>
    <w:rsid w:val="6D103417"/>
    <w:rsid w:val="6D342528"/>
    <w:rsid w:val="6D4065BB"/>
    <w:rsid w:val="6D73A7A8"/>
    <w:rsid w:val="6DD51EC1"/>
    <w:rsid w:val="6DED540B"/>
    <w:rsid w:val="6EC205F2"/>
    <w:rsid w:val="6F842B01"/>
    <w:rsid w:val="6FA81A3C"/>
    <w:rsid w:val="714744A7"/>
    <w:rsid w:val="717383BB"/>
    <w:rsid w:val="7185354B"/>
    <w:rsid w:val="71EA46D2"/>
    <w:rsid w:val="721F7787"/>
    <w:rsid w:val="72502A4C"/>
    <w:rsid w:val="72556080"/>
    <w:rsid w:val="72FB5971"/>
    <w:rsid w:val="731F3CDF"/>
    <w:rsid w:val="7367CFA8"/>
    <w:rsid w:val="7368470D"/>
    <w:rsid w:val="73762533"/>
    <w:rsid w:val="73F6855F"/>
    <w:rsid w:val="74376338"/>
    <w:rsid w:val="743E50DD"/>
    <w:rsid w:val="74507E06"/>
    <w:rsid w:val="747834C0"/>
    <w:rsid w:val="749A05DB"/>
    <w:rsid w:val="74D527BF"/>
    <w:rsid w:val="74FB6D7E"/>
    <w:rsid w:val="74FC1995"/>
    <w:rsid w:val="74FD2CB8"/>
    <w:rsid w:val="755F5FDC"/>
    <w:rsid w:val="75D13EDB"/>
    <w:rsid w:val="75D738C5"/>
    <w:rsid w:val="75ED062E"/>
    <w:rsid w:val="75FF44DB"/>
    <w:rsid w:val="76413F68"/>
    <w:rsid w:val="76514A52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3C3556"/>
    <w:rsid w:val="7A4D17B6"/>
    <w:rsid w:val="7A5E3C4E"/>
    <w:rsid w:val="7A6B49A6"/>
    <w:rsid w:val="7AB33333"/>
    <w:rsid w:val="7AC35E02"/>
    <w:rsid w:val="7AD16771"/>
    <w:rsid w:val="7B116B6D"/>
    <w:rsid w:val="7B5615BC"/>
    <w:rsid w:val="7B7FB31D"/>
    <w:rsid w:val="7B973D59"/>
    <w:rsid w:val="7BAE59D5"/>
    <w:rsid w:val="7BCD60CB"/>
    <w:rsid w:val="7BEC7AA8"/>
    <w:rsid w:val="7BFD26D4"/>
    <w:rsid w:val="7BFE8EC0"/>
    <w:rsid w:val="7C704221"/>
    <w:rsid w:val="7CA103C5"/>
    <w:rsid w:val="7CB91E86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unhideWhenUsed/>
    <w:qFormat/>
    <w:uiPriority w:val="0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1"/>
    <w:qFormat/>
    <w:uiPriority w:val="0"/>
    <w:pPr>
      <w:spacing w:line="360" w:lineRule="auto"/>
      <w:ind w:firstLine="480" w:firstLineChars="200"/>
    </w:pPr>
    <w:rPr>
      <w:rFonts w:ascii="FangSong_GB2312"/>
      <w:sz w:val="24"/>
    </w:rPr>
  </w:style>
  <w:style w:type="paragraph" w:styleId="7">
    <w:name w:val="Body Text Indent 2"/>
    <w:basedOn w:val="1"/>
    <w:link w:val="34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FangSong_GB2312" w:hAnsi="宋体" w:eastAsia="FangSong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5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6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Emphasis"/>
    <w:basedOn w:val="18"/>
    <w:qFormat/>
    <w:uiPriority w:val="20"/>
    <w:rPr>
      <w:i/>
    </w:rPr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4">
    <w:name w:val="Heading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Heading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Header Char"/>
    <w:basedOn w:val="18"/>
    <w:link w:val="10"/>
    <w:qFormat/>
    <w:uiPriority w:val="0"/>
    <w:rPr>
      <w:sz w:val="18"/>
      <w:szCs w:val="18"/>
    </w:rPr>
  </w:style>
  <w:style w:type="character" w:customStyle="1" w:styleId="27">
    <w:name w:val="Footer Char"/>
    <w:basedOn w:val="18"/>
    <w:link w:val="9"/>
    <w:qFormat/>
    <w:uiPriority w:val="99"/>
    <w:rPr>
      <w:sz w:val="18"/>
      <w:szCs w:val="18"/>
    </w:rPr>
  </w:style>
  <w:style w:type="paragraph" w:customStyle="1" w:styleId="28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9">
    <w:name w:val="Balloon Text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Comment Text Char"/>
    <w:basedOn w:val="18"/>
    <w:link w:val="4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31">
    <w:name w:val="Plain Text Char"/>
    <w:basedOn w:val="18"/>
    <w:link w:val="6"/>
    <w:qFormat/>
    <w:uiPriority w:val="0"/>
    <w:rPr>
      <w:rFonts w:ascii="FangSong_GB2312" w:hAnsi="Times New Roman" w:eastAsia="宋体" w:cs="Times New Roman"/>
      <w:sz w:val="24"/>
      <w:szCs w:val="20"/>
    </w:rPr>
  </w:style>
  <w:style w:type="paragraph" w:customStyle="1" w:styleId="32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FangSong_GB2312"/>
      <w:sz w:val="24"/>
    </w:rPr>
  </w:style>
  <w:style w:type="paragraph" w:styleId="33">
    <w:name w:val="List Paragraph"/>
    <w:basedOn w:val="1"/>
    <w:qFormat/>
    <w:uiPriority w:val="34"/>
    <w:pPr>
      <w:ind w:firstLine="420" w:firstLineChars="200"/>
    </w:pPr>
    <w:rPr>
      <w:rFonts w:ascii="FangSong_GB2312" w:eastAsia="FangSong_GB2312"/>
      <w:spacing w:val="-4"/>
      <w:sz w:val="32"/>
    </w:rPr>
  </w:style>
  <w:style w:type="character" w:customStyle="1" w:styleId="34">
    <w:name w:val="Body Text Indent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5">
    <w:name w:val="Title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6">
    <w:name w:val="Comment Subject Char"/>
    <w:basedOn w:val="30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9">
    <w:name w:val="Revision"/>
    <w:hidden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1677</Words>
  <Characters>3433</Characters>
  <Lines>57</Lines>
  <Paragraphs>16</Paragraphs>
  <TotalTime>16</TotalTime>
  <ScaleCrop>false</ScaleCrop>
  <LinksUpToDate>false</LinksUpToDate>
  <CharactersWithSpaces>3718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2025-09-10T01:09:00Z</dcterms:created>
  <dc:creator>胡胜链</dc:creator>
  <cp:lastModifiedBy>葛格</cp:lastModifiedBy>
  <cp:lastPrinted>2022-01-28T09:53:00Z</cp:lastPrinted>
  <dcterms:modified xsi:type="dcterms:W3CDTF">2025-09-16T01:23:35Z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806F24E1EAE24D4882ABDFB16F0185E0_13</vt:lpwstr>
  </property>
  <property fmtid="{D5CDD505-2E9C-101B-9397-08002B2CF9AE}" pid="4" name="KSOTemplateDocerSaveRecord">
    <vt:lpwstr>eyJoZGlkIjoiZTllYjc3MGRiNzI1MDY1NDgwNjBjYzEyMDk3NjZlNGEiLCJ1c2VySWQiOiI3OTg2NTM2NTgifQ==</vt:lpwstr>
  </property>
</Properties>
</file>