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B1A19B">
      <w:pPr>
        <w:jc w:val="center"/>
        <w:rPr>
          <w:rStyle w:val="36"/>
          <w:rFonts w:eastAsia="方正小标宋简体"/>
          <w:bCs w:val="0"/>
          <w:color w:val="auto"/>
          <w:sz w:val="36"/>
          <w:szCs w:val="36"/>
        </w:rPr>
      </w:pPr>
      <w:bookmarkStart w:id="9" w:name="_GoBack"/>
      <w:bookmarkEnd w:id="9"/>
      <w:r>
        <w:rPr>
          <w:rStyle w:val="36"/>
          <w:rFonts w:ascii="微软雅黑" w:hAnsi="微软雅黑" w:eastAsia="微软雅黑"/>
          <w:bCs w:val="0"/>
          <w:color w:val="auto"/>
          <w:sz w:val="32"/>
          <w:szCs w:val="32"/>
        </w:rPr>
        <w:t>浙江省科学技术奖公示信息表</w:t>
      </w:r>
      <w:r>
        <w:rPr>
          <w:rStyle w:val="36"/>
          <w:rFonts w:eastAsia="仿宋_GB2312"/>
          <w:b w:val="0"/>
          <w:color w:val="auto"/>
          <w:sz w:val="32"/>
          <w:szCs w:val="32"/>
        </w:rPr>
        <w:t>（单位提名）</w:t>
      </w:r>
    </w:p>
    <w:p w14:paraId="406E3495">
      <w:pPr>
        <w:adjustRightInd w:val="0"/>
        <w:snapToGrid w:val="0"/>
        <w:spacing w:before="240" w:line="360" w:lineRule="auto"/>
        <w:ind w:firstLine="280" w:firstLineChars="100"/>
        <w:rPr>
          <w:rFonts w:asciiTheme="minorEastAsia" w:hAnsiTheme="minorEastAsia" w:eastAsiaTheme="minorEastAsia"/>
          <w:sz w:val="28"/>
          <w:szCs w:val="28"/>
        </w:rPr>
      </w:pPr>
      <w:r>
        <w:rPr>
          <w:rFonts w:ascii="微软雅黑" w:hAnsi="微软雅黑" w:eastAsia="微软雅黑"/>
          <w:b/>
          <w:bCs/>
          <w:sz w:val="28"/>
          <w:szCs w:val="28"/>
        </w:rPr>
        <w:t>提名奖项：</w:t>
      </w:r>
      <w:r>
        <w:rPr>
          <w:rFonts w:asciiTheme="minorEastAsia" w:hAnsiTheme="minorEastAsia" w:eastAsiaTheme="minorEastAsia"/>
          <w:sz w:val="28"/>
          <w:szCs w:val="28"/>
        </w:rPr>
        <w:t>科学技术进步奖</w:t>
      </w:r>
    </w:p>
    <w:tbl>
      <w:tblPr>
        <w:tblStyle w:val="16"/>
        <w:tblW w:w="8647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7087"/>
      </w:tblGrid>
      <w:tr w14:paraId="536DFA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560" w:type="dxa"/>
            <w:vAlign w:val="center"/>
          </w:tcPr>
          <w:p w14:paraId="0F54C2EB">
            <w:pPr>
              <w:jc w:val="center"/>
              <w:rPr>
                <w:rStyle w:val="36"/>
                <w:rFonts w:ascii="宋体" w:hAnsi="宋体"/>
                <w:color w:val="auto"/>
                <w:sz w:val="28"/>
                <w:szCs w:val="28"/>
              </w:rPr>
            </w:pPr>
            <w:r>
              <w:rPr>
                <w:rStyle w:val="36"/>
                <w:rFonts w:ascii="宋体" w:hAnsi="宋体"/>
                <w:color w:val="auto"/>
                <w:sz w:val="28"/>
                <w:szCs w:val="28"/>
              </w:rPr>
              <w:t>成果名称</w:t>
            </w:r>
          </w:p>
        </w:tc>
        <w:tc>
          <w:tcPr>
            <w:tcW w:w="7087" w:type="dxa"/>
            <w:vAlign w:val="center"/>
          </w:tcPr>
          <w:p w14:paraId="319F4910">
            <w:pPr>
              <w:jc w:val="center"/>
              <w:rPr>
                <w:rStyle w:val="36"/>
                <w:rFonts w:ascii="微软雅黑" w:hAnsi="微软雅黑" w:eastAsia="微软雅黑"/>
                <w:bCs w:val="0"/>
                <w:color w:val="auto"/>
              </w:rPr>
            </w:pPr>
            <w:r>
              <w:rPr>
                <w:rStyle w:val="36"/>
                <w:rFonts w:hint="eastAsia" w:ascii="微软雅黑" w:hAnsi="微软雅黑" w:eastAsia="微软雅黑" w:cs="宋体"/>
                <w:bCs w:val="0"/>
                <w:color w:val="auto"/>
              </w:rPr>
              <w:t>聚酮类抗</w:t>
            </w:r>
            <w:r>
              <w:rPr>
                <w:rStyle w:val="36"/>
                <w:rFonts w:hint="eastAsia" w:ascii="微软雅黑" w:hAnsi="微软雅黑" w:eastAsia="微软雅黑" w:cs="___WRD_EMBED_SUB_45"/>
                <w:bCs w:val="0"/>
                <w:color w:val="auto"/>
              </w:rPr>
              <w:t>排</w:t>
            </w:r>
            <w:r>
              <w:rPr>
                <w:rStyle w:val="36"/>
                <w:rFonts w:hint="eastAsia" w:ascii="微软雅黑" w:hAnsi="微软雅黑" w:eastAsia="微软雅黑" w:cs="宋体"/>
                <w:bCs w:val="0"/>
                <w:color w:val="auto"/>
              </w:rPr>
              <w:t>异药物</w:t>
            </w:r>
            <w:r>
              <w:rPr>
                <w:rStyle w:val="36"/>
                <w:rFonts w:hint="eastAsia" w:ascii="微软雅黑" w:hAnsi="微软雅黑" w:eastAsia="微软雅黑" w:cs="___WRD_EMBED_SUB_45"/>
                <w:bCs w:val="0"/>
                <w:color w:val="auto"/>
              </w:rPr>
              <w:t>合成</w:t>
            </w:r>
            <w:r>
              <w:rPr>
                <w:rStyle w:val="36"/>
                <w:rFonts w:hint="eastAsia" w:ascii="微软雅黑" w:hAnsi="微软雅黑" w:eastAsia="微软雅黑" w:cs="宋体"/>
                <w:bCs w:val="0"/>
                <w:color w:val="auto"/>
              </w:rPr>
              <w:t>生物体系重构</w:t>
            </w:r>
            <w:r>
              <w:rPr>
                <w:rStyle w:val="36"/>
                <w:rFonts w:hint="eastAsia" w:ascii="微软雅黑" w:hAnsi="微软雅黑" w:eastAsia="微软雅黑" w:cs="___WRD_EMBED_SUB_45"/>
                <w:bCs w:val="0"/>
                <w:color w:val="auto"/>
              </w:rPr>
              <w:t>及</w:t>
            </w:r>
            <w:r>
              <w:rPr>
                <w:rStyle w:val="36"/>
                <w:rFonts w:hint="eastAsia" w:ascii="微软雅黑" w:hAnsi="微软雅黑" w:eastAsia="微软雅黑" w:cs="宋体"/>
                <w:bCs w:val="0"/>
                <w:color w:val="auto"/>
              </w:rPr>
              <w:t>其</w:t>
            </w:r>
            <w:r>
              <w:rPr>
                <w:rStyle w:val="36"/>
                <w:rFonts w:hint="eastAsia" w:ascii="微软雅黑" w:hAnsi="微软雅黑" w:eastAsia="微软雅黑" w:cs="___WRD_EMBED_SUB_45"/>
                <w:bCs w:val="0"/>
                <w:color w:val="auto"/>
              </w:rPr>
              <w:t>产业应</w:t>
            </w:r>
            <w:r>
              <w:rPr>
                <w:rStyle w:val="36"/>
                <w:rFonts w:hint="eastAsia" w:ascii="微软雅黑" w:hAnsi="微软雅黑" w:eastAsia="微软雅黑" w:cs="宋体"/>
                <w:bCs w:val="0"/>
                <w:color w:val="auto"/>
              </w:rPr>
              <w:t>用</w:t>
            </w:r>
          </w:p>
        </w:tc>
      </w:tr>
      <w:tr w14:paraId="70EF2C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560" w:type="dxa"/>
            <w:vAlign w:val="center"/>
          </w:tcPr>
          <w:p w14:paraId="481C0D13">
            <w:pPr>
              <w:jc w:val="center"/>
              <w:rPr>
                <w:rStyle w:val="36"/>
                <w:rFonts w:ascii="宋体" w:hAnsi="宋体"/>
                <w:color w:val="auto"/>
                <w:sz w:val="28"/>
                <w:szCs w:val="28"/>
              </w:rPr>
            </w:pPr>
            <w:r>
              <w:rPr>
                <w:rStyle w:val="36"/>
                <w:rFonts w:ascii="宋体" w:hAnsi="宋体"/>
                <w:color w:val="auto"/>
                <w:sz w:val="28"/>
                <w:szCs w:val="28"/>
              </w:rPr>
              <w:t>提名等级</w:t>
            </w:r>
          </w:p>
        </w:tc>
        <w:tc>
          <w:tcPr>
            <w:tcW w:w="7087" w:type="dxa"/>
            <w:vAlign w:val="center"/>
          </w:tcPr>
          <w:p w14:paraId="7CEB0EBD">
            <w:pPr>
              <w:jc w:val="center"/>
              <w:rPr>
                <w:rStyle w:val="36"/>
                <w:rFonts w:ascii="微软雅黑" w:hAnsi="微软雅黑" w:eastAsia="微软雅黑"/>
                <w:color w:val="auto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>科学技术进步奖</w:t>
            </w:r>
            <w:r>
              <w:rPr>
                <w:rStyle w:val="36"/>
                <w:rFonts w:hint="eastAsia" w:ascii="微软雅黑" w:hAnsi="微软雅黑" w:eastAsia="微软雅黑"/>
                <w:color w:val="auto"/>
                <w:sz w:val="28"/>
                <w:szCs w:val="28"/>
              </w:rPr>
              <w:t xml:space="preserve">一等奖 </w:t>
            </w:r>
            <w:r>
              <w:rPr>
                <w:rStyle w:val="36"/>
                <w:rFonts w:ascii="微软雅黑" w:hAnsi="微软雅黑" w:eastAsia="微软雅黑"/>
                <w:color w:val="auto"/>
                <w:sz w:val="28"/>
                <w:szCs w:val="28"/>
              </w:rPr>
              <w:t xml:space="preserve">          </w:t>
            </w:r>
          </w:p>
        </w:tc>
      </w:tr>
      <w:tr w14:paraId="618814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1" w:hRule="atLeast"/>
        </w:trPr>
        <w:tc>
          <w:tcPr>
            <w:tcW w:w="1560" w:type="dxa"/>
            <w:vAlign w:val="center"/>
          </w:tcPr>
          <w:p w14:paraId="3BE03764">
            <w:pPr>
              <w:spacing w:line="440" w:lineRule="exact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ascii="宋体" w:hAnsi="宋体"/>
                <w:b/>
                <w:bCs/>
                <w:sz w:val="28"/>
                <w:szCs w:val="28"/>
              </w:rPr>
              <w:t>提名书</w:t>
            </w:r>
          </w:p>
          <w:p w14:paraId="4AEBCA5B">
            <w:pPr>
              <w:spacing w:line="440" w:lineRule="exact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ascii="宋体" w:hAnsi="宋体"/>
                <w:b/>
                <w:bCs/>
                <w:sz w:val="28"/>
                <w:szCs w:val="28"/>
              </w:rPr>
              <w:t>相关内容</w:t>
            </w:r>
          </w:p>
        </w:tc>
        <w:tc>
          <w:tcPr>
            <w:tcW w:w="7087" w:type="dxa"/>
            <w:vAlign w:val="center"/>
          </w:tcPr>
          <w:p w14:paraId="552D22B3">
            <w:pPr>
              <w:autoSpaceDE w:val="0"/>
              <w:autoSpaceDN w:val="0"/>
              <w:adjustRightInd w:val="0"/>
              <w:snapToGrid w:val="0"/>
              <w:spacing w:line="336" w:lineRule="auto"/>
              <w:jc w:val="left"/>
              <w:rPr>
                <w:rFonts w:ascii="宋体" w:hAnsi="宋体"/>
                <w:color w:val="FF0000"/>
                <w:sz w:val="24"/>
              </w:rPr>
            </w:pPr>
            <w:bookmarkStart w:id="0" w:name="_Hlk153784213"/>
            <w:r>
              <w:rPr>
                <w:rFonts w:hint="eastAsia" w:ascii="宋体" w:hAnsi="宋体"/>
                <w:b/>
                <w:bCs/>
                <w:sz w:val="24"/>
              </w:rPr>
              <w:t>【</w:t>
            </w:r>
            <w:r>
              <w:rPr>
                <w:rFonts w:ascii="宋体" w:hAnsi="宋体"/>
                <w:b/>
                <w:bCs/>
                <w:sz w:val="24"/>
              </w:rPr>
              <w:t>1</w:t>
            </w:r>
            <w:r>
              <w:rPr>
                <w:rFonts w:hint="eastAsia" w:ascii="宋体" w:hAnsi="宋体"/>
                <w:b/>
                <w:bCs/>
                <w:sz w:val="24"/>
              </w:rPr>
              <w:t>】</w:t>
            </w:r>
            <w:bookmarkStart w:id="1" w:name="_Hlk153783851"/>
            <w:r>
              <w:rPr>
                <w:rFonts w:ascii="宋体" w:hAnsi="宋体"/>
                <w:b/>
                <w:sz w:val="24"/>
              </w:rPr>
              <w:t>李永泉、王月月、江辉、张小晟、骆红豆，</w:t>
            </w:r>
            <w:r>
              <w:rPr>
                <w:rFonts w:ascii="宋体" w:hAnsi="宋体"/>
                <w:sz w:val="24"/>
              </w:rPr>
              <w:t>基因工程菌株筑波链霉菌L20及其应用，中国发明专利ZL 201510664086.2</w:t>
            </w:r>
            <w:bookmarkEnd w:id="0"/>
            <w:bookmarkEnd w:id="1"/>
            <w:r>
              <w:rPr>
                <w:rFonts w:ascii="宋体" w:hAnsi="宋体"/>
                <w:sz w:val="24"/>
              </w:rPr>
              <w:t>，授权日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2018/10/26</w:t>
            </w:r>
            <w:r>
              <w:rPr>
                <w:rFonts w:hint="eastAsia" w:ascii="宋体" w:hAnsi="宋体"/>
                <w:color w:val="FF0000"/>
                <w:sz w:val="24"/>
              </w:rPr>
              <w:t xml:space="preserve"> </w:t>
            </w:r>
          </w:p>
          <w:p w14:paraId="3F990C30">
            <w:pPr>
              <w:autoSpaceDE w:val="0"/>
              <w:autoSpaceDN w:val="0"/>
              <w:adjustRightInd w:val="0"/>
              <w:snapToGrid w:val="0"/>
              <w:spacing w:line="336" w:lineRule="auto"/>
              <w:jc w:val="left"/>
              <w:rPr>
                <w:rFonts w:ascii="宋体" w:hAnsi="宋体"/>
                <w:color w:val="FF0000"/>
                <w:sz w:val="24"/>
              </w:rPr>
            </w:pPr>
            <w:bookmarkStart w:id="2" w:name="_Hlk153784025"/>
            <w:r>
              <w:rPr>
                <w:rFonts w:hint="eastAsia" w:ascii="宋体" w:hAnsi="宋体"/>
                <w:b/>
                <w:bCs/>
                <w:sz w:val="24"/>
              </w:rPr>
              <w:t>【</w:t>
            </w:r>
            <w:r>
              <w:rPr>
                <w:rFonts w:ascii="宋体" w:hAnsi="宋体"/>
                <w:b/>
                <w:bCs/>
                <w:sz w:val="24"/>
              </w:rPr>
              <w:t>2</w:t>
            </w:r>
            <w:r>
              <w:rPr>
                <w:rFonts w:hint="eastAsia" w:ascii="宋体" w:hAnsi="宋体"/>
                <w:b/>
                <w:bCs/>
                <w:sz w:val="24"/>
              </w:rPr>
              <w:t>】</w:t>
            </w:r>
            <w:bookmarkStart w:id="3" w:name="_Hlk153783898"/>
            <w:r>
              <w:rPr>
                <w:rFonts w:ascii="宋体" w:hAnsi="宋体"/>
                <w:b/>
                <w:sz w:val="24"/>
              </w:rPr>
              <w:t>李永泉、张小晟、江辉、王月月、骆红豆</w:t>
            </w:r>
            <w:r>
              <w:rPr>
                <w:rFonts w:ascii="宋体" w:hAnsi="宋体"/>
                <w:sz w:val="24"/>
              </w:rPr>
              <w:t>，基因工程菌株筑波链霉菌L21及其应用，中国发明专利ZL201510664099.X，授权日2018年11月1日</w:t>
            </w:r>
            <w:bookmarkEnd w:id="3"/>
          </w:p>
          <w:p w14:paraId="6D755B23">
            <w:pPr>
              <w:autoSpaceDE w:val="0"/>
              <w:autoSpaceDN w:val="0"/>
              <w:adjustRightInd w:val="0"/>
              <w:snapToGrid w:val="0"/>
              <w:spacing w:line="336" w:lineRule="auto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eastAsia="微软雅黑"/>
                <w:bCs/>
                <w:color w:val="000000"/>
                <w:sz w:val="24"/>
              </w:rPr>
              <w:t>【</w:t>
            </w:r>
            <w:r>
              <w:rPr>
                <w:rFonts w:eastAsia="微软雅黑"/>
                <w:bCs/>
                <w:color w:val="000000"/>
                <w:sz w:val="24"/>
              </w:rPr>
              <w:t>3</w:t>
            </w:r>
            <w:r>
              <w:rPr>
                <w:rFonts w:hint="eastAsia" w:eastAsia="微软雅黑"/>
                <w:bCs/>
                <w:color w:val="000000"/>
                <w:sz w:val="24"/>
              </w:rPr>
              <w:t>】</w:t>
            </w:r>
            <w:r>
              <w:rPr>
                <w:rFonts w:hint="eastAsia" w:ascii="宋体" w:hAnsi="宋体"/>
                <w:b/>
                <w:sz w:val="24"/>
              </w:rPr>
              <w:t>李永泉、毛旭明、沈洁洁、刘小放、陈新爱</w:t>
            </w:r>
            <w:r>
              <w:rPr>
                <w:rFonts w:hint="eastAsia" w:eastAsia="微软雅黑"/>
                <w:bCs/>
                <w:color w:val="000000"/>
                <w:sz w:val="24"/>
              </w:rPr>
              <w:t>，</w:t>
            </w:r>
            <w:r>
              <w:rPr>
                <w:rFonts w:hint="eastAsia" w:ascii="宋体" w:hAnsi="宋体"/>
                <w:sz w:val="24"/>
              </w:rPr>
              <w:t>一种酰基转移酶结构域定向改造合成新型化合物的方法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ZL201910250807.3</w:t>
            </w:r>
            <w:bookmarkEnd w:id="2"/>
            <w:r>
              <w:rPr>
                <w:rFonts w:hint="eastAsia" w:ascii="宋体" w:hAnsi="宋体"/>
                <w:sz w:val="24"/>
              </w:rPr>
              <w:t>，授权日2</w:t>
            </w:r>
            <w:r>
              <w:rPr>
                <w:rFonts w:ascii="宋体" w:hAnsi="宋体"/>
                <w:sz w:val="24"/>
              </w:rPr>
              <w:t>021</w:t>
            </w:r>
            <w:r>
              <w:rPr>
                <w:rFonts w:hint="eastAsia" w:ascii="宋体" w:hAnsi="宋体"/>
                <w:sz w:val="24"/>
              </w:rPr>
              <w:t>年5月1</w:t>
            </w:r>
            <w:r>
              <w:rPr>
                <w:rFonts w:ascii="宋体" w:hAnsi="宋体"/>
                <w:sz w:val="24"/>
              </w:rPr>
              <w:t>2</w:t>
            </w:r>
            <w:r>
              <w:rPr>
                <w:rFonts w:hint="eastAsia" w:ascii="宋体" w:hAnsi="宋体"/>
                <w:sz w:val="24"/>
              </w:rPr>
              <w:t>日</w:t>
            </w:r>
          </w:p>
          <w:p w14:paraId="1CAC0C56">
            <w:pPr>
              <w:autoSpaceDE w:val="0"/>
              <w:autoSpaceDN w:val="0"/>
              <w:adjustRightInd w:val="0"/>
              <w:snapToGrid w:val="0"/>
              <w:spacing w:line="336" w:lineRule="auto"/>
              <w:jc w:val="left"/>
              <w:rPr>
                <w:rFonts w:ascii="宋体" w:hAnsi="宋体"/>
                <w:color w:val="FF0000"/>
                <w:sz w:val="24"/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【</w:t>
            </w:r>
            <w:r>
              <w:rPr>
                <w:rFonts w:ascii="宋体" w:hAnsi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】李永泉、卜庆廷、武青彬，</w:t>
            </w:r>
            <w:r>
              <w:rPr>
                <w:rFonts w:hint="eastAsia" w:ascii="宋体" w:hAnsi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一种过表达</w:t>
            </w:r>
            <w:r>
              <w:rPr>
                <w:rFonts w:ascii="宋体" w:hAnsi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rapX</w:t>
            </w:r>
            <w:r>
              <w:rPr>
                <w:rFonts w:hint="eastAsia" w:ascii="宋体" w:hAnsi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编码的外源</w:t>
            </w:r>
            <w:r>
              <w:rPr>
                <w:rFonts w:ascii="宋体" w:hAnsi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FK506</w:t>
            </w:r>
            <w:r>
              <w:rPr>
                <w:rFonts w:hint="eastAsia" w:ascii="宋体" w:hAnsi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转运蛋白的基因工程菌构建方法和用途，</w:t>
            </w: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中国发明专利</w:t>
            </w:r>
            <w:r>
              <w:rPr>
                <w:rFonts w:ascii="宋体" w:hAnsi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ZL 202110956716.9  </w:t>
            </w:r>
          </w:p>
          <w:p w14:paraId="68241B98">
            <w:pPr>
              <w:autoSpaceDE w:val="0"/>
              <w:autoSpaceDN w:val="0"/>
              <w:adjustRightInd w:val="0"/>
              <w:snapToGrid w:val="0"/>
              <w:spacing w:line="336" w:lineRule="auto"/>
              <w:jc w:val="left"/>
              <w:rPr>
                <w:rFonts w:ascii="宋体" w:hAnsi="宋体"/>
                <w:color w:val="FF0000"/>
                <w:sz w:val="24"/>
              </w:rPr>
            </w:pPr>
            <w:bookmarkStart w:id="4" w:name="OLE_LINK1"/>
            <w:bookmarkStart w:id="5" w:name="_Hlk199665042"/>
            <w:r>
              <w:rPr>
                <w:rFonts w:hint="eastAsia" w:ascii="宋体" w:hAnsi="宋体" w:cs="宋体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【5】</w:t>
            </w:r>
            <w:bookmarkStart w:id="6" w:name="_Hlk153783965"/>
            <w:r>
              <w:rPr>
                <w:rFonts w:hint="eastAsia" w:ascii="宋体" w:hAnsi="宋体" w:cs="宋体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吴萍、杨永梅、颜仁江、方一民、张薇，</w:t>
            </w:r>
            <w:r>
              <w:rPr>
                <w:rFonts w:hint="eastAsia" w:ascii="宋体" w:hAnsi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筑波链霉菌及其在制备他克莫司中的应用，中国发明专利ZL201610135737.3</w:t>
            </w:r>
            <w:bookmarkEnd w:id="6"/>
            <w:r>
              <w:rPr>
                <w:rFonts w:hint="eastAsia" w:ascii="宋体" w:hAnsi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，授权日2019年09月17日。</w:t>
            </w:r>
          </w:p>
          <w:p w14:paraId="0F61F72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宋体" w:hAnsi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【6】</w:t>
            </w:r>
            <w:r>
              <w:rPr>
                <w:b/>
                <w:color w:val="000000"/>
                <w:sz w:val="24"/>
              </w:rPr>
              <w:t>李永泉、毛旭明、王凯、郑洋、卜庆廷，</w:t>
            </w:r>
            <w:r>
              <w:rPr>
                <w:color w:val="000000"/>
                <w:sz w:val="24"/>
              </w:rPr>
              <w:t>基于转录组学链霉菌次级代谢强启动子挖掘方法及应用，中国发明专利ZL201810288604.9，授权日2019年7月16日</w:t>
            </w:r>
            <w:bookmarkEnd w:id="4"/>
            <w:bookmarkEnd w:id="5"/>
          </w:p>
          <w:p w14:paraId="3C52E6E3">
            <w:pPr>
              <w:autoSpaceDE w:val="0"/>
              <w:autoSpaceDN w:val="0"/>
              <w:adjustRightInd w:val="0"/>
              <w:snapToGrid w:val="0"/>
              <w:spacing w:line="336" w:lineRule="auto"/>
              <w:jc w:val="left"/>
              <w:rPr>
                <w:rFonts w:ascii="宋体" w:hAnsi="宋体"/>
                <w:color w:val="FF000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【7】诸敏、吴萍、吴文艺、纪立君、高庆峰，</w:t>
            </w:r>
            <w:r>
              <w:rPr>
                <w:rFonts w:hint="eastAsia" w:ascii="宋体" w:hAnsi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他克莫司化合物及其制备方法，杭州中美华东制药有限公司，中国发明专利ZL201610410561.8，授权日2019年02月19日。</w:t>
            </w:r>
          </w:p>
          <w:p w14:paraId="014C9B14">
            <w:pPr>
              <w:autoSpaceDE w:val="0"/>
              <w:autoSpaceDN w:val="0"/>
              <w:adjustRightInd w:val="0"/>
              <w:snapToGrid w:val="0"/>
              <w:spacing w:line="336" w:lineRule="auto"/>
              <w:jc w:val="left"/>
              <w:rPr>
                <w:rFonts w:ascii="宋体" w:hAnsi="宋体" w:cs="宋体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bookmarkStart w:id="7" w:name="OLE_LINK2"/>
            <w:r>
              <w:rPr>
                <w:rFonts w:hint="eastAsia" w:ascii="宋体" w:hAnsi="宋体" w:cs="宋体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【8】张雪霞、段宝玲、任凤芝、李宁、陈书红、刘进怀等，</w:t>
            </w:r>
            <w:r>
              <w:rPr>
                <w:rFonts w:hint="eastAsia" w:ascii="宋体" w:hAnsi="宋体" w:cs="宋体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一种高纯度他克莫司的制备方法，</w:t>
            </w:r>
            <w:r>
              <w:rPr>
                <w:rFonts w:hint="eastAsia" w:ascii="宋体" w:hAnsi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中国发明专利</w:t>
            </w:r>
            <w:r>
              <w:rPr>
                <w:rFonts w:hint="eastAsia" w:ascii="宋体" w:hAnsi="宋体" w:cs="宋体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Z</w:t>
            </w:r>
            <w:r>
              <w:rPr>
                <w:rFonts w:ascii="宋体" w:hAnsi="宋体" w:cs="宋体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L201210447477.5</w:t>
            </w:r>
            <w:r>
              <w:rPr>
                <w:rFonts w:hint="eastAsia" w:ascii="宋体" w:hAnsi="宋体" w:cs="宋体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授权日20</w:t>
            </w:r>
            <w:r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16</w:t>
            </w:r>
            <w:r>
              <w:rPr>
                <w:rFonts w:hint="eastAsia"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01</w:t>
            </w:r>
            <w:r>
              <w:rPr>
                <w:rFonts w:hint="eastAsia"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月0</w:t>
            </w:r>
            <w:r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  <w:p w14:paraId="72E609AE">
            <w:pPr>
              <w:autoSpaceDE w:val="0"/>
              <w:autoSpaceDN w:val="0"/>
              <w:adjustRightInd w:val="0"/>
              <w:snapToGrid w:val="0"/>
              <w:spacing w:line="336" w:lineRule="auto"/>
              <w:jc w:val="left"/>
              <w:rPr>
                <w:rFonts w:ascii="宋体" w:hAnsi="宋体" w:cs="宋体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【9】任凤芝、段宝玲、张雪霞、陈书红、李丽红、刘进怀等，</w:t>
            </w:r>
            <w:r>
              <w:rPr>
                <w:rFonts w:hint="eastAsia" w:ascii="宋体" w:hAnsi="宋体" w:cs="宋体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一种F</w:t>
            </w:r>
            <w:r>
              <w:rPr>
                <w:rFonts w:ascii="宋体" w:hAnsi="宋体" w:cs="宋体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K506-A</w:t>
            </w:r>
            <w:r>
              <w:rPr>
                <w:rFonts w:hint="eastAsia" w:ascii="宋体" w:hAnsi="宋体" w:cs="宋体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的提取方法，</w:t>
            </w:r>
            <w:r>
              <w:rPr>
                <w:rFonts w:hint="eastAsia" w:ascii="宋体" w:hAnsi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中国发明专利</w:t>
            </w:r>
            <w:r>
              <w:rPr>
                <w:rFonts w:hint="eastAsia" w:ascii="宋体" w:hAnsi="宋体" w:cs="宋体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Z</w:t>
            </w:r>
            <w:r>
              <w:rPr>
                <w:rFonts w:ascii="宋体" w:hAnsi="宋体" w:cs="宋体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L201210483603.2</w:t>
            </w:r>
            <w:r>
              <w:rPr>
                <w:rFonts w:hint="eastAsia" w:ascii="宋体" w:hAnsi="宋体" w:cs="宋体"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授权日20</w:t>
            </w:r>
            <w:r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int="eastAsia"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年1</w:t>
            </w:r>
            <w:r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月23日</w:t>
            </w:r>
          </w:p>
          <w:p w14:paraId="63BFE77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eastAsiaTheme="minorEastAsia"/>
                <w:bCs/>
              </w:rPr>
            </w:pPr>
            <w:r>
              <w:rPr>
                <w:rFonts w:hint="eastAsia" w:cs="宋体" w:asciiTheme="minorEastAsia" w:hAnsiTheme="minorEastAsia" w:eastAsiaTheme="minorEastAsia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【</w:t>
            </w:r>
            <w:r>
              <w:rPr>
                <w:rFonts w:cs="宋体" w:asciiTheme="minorEastAsia" w:hAnsiTheme="minorEastAsia" w:eastAsiaTheme="minorEastAsia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cs="宋体" w:asciiTheme="minorEastAsia" w:hAnsiTheme="minorEastAsia" w:eastAsiaTheme="minorEastAsia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】</w:t>
            </w:r>
            <w:r>
              <w:rPr>
                <w:rFonts w:cs="宋体" w:asciiTheme="minorEastAsia" w:hAnsiTheme="minorEastAsia" w:eastAsiaTheme="minorEastAsia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宋体" w:asciiTheme="minorEastAsia" w:hAnsiTheme="minorEastAsia" w:eastAsiaTheme="minorEastAsia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韩敏、龚翼飞、姚忠立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一种含水难溶高活性药物的组合物及其制备方法，杭州中美华东制药有限公司，中国发明专利ZL200910098087.X，授权日2011.4.20。</w:t>
            </w:r>
            <w:bookmarkEnd w:id="7"/>
          </w:p>
        </w:tc>
      </w:tr>
      <w:tr w14:paraId="6089FC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</w:trPr>
        <w:tc>
          <w:tcPr>
            <w:tcW w:w="1560" w:type="dxa"/>
            <w:tcBorders>
              <w:right w:val="single" w:color="auto" w:sz="4" w:space="0"/>
            </w:tcBorders>
            <w:vAlign w:val="center"/>
          </w:tcPr>
          <w:p w14:paraId="41050F6E">
            <w:pPr>
              <w:spacing w:line="440" w:lineRule="exact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ascii="宋体" w:hAnsi="宋体"/>
                <w:b/>
                <w:bCs/>
                <w:sz w:val="28"/>
                <w:szCs w:val="28"/>
              </w:rPr>
              <w:t>主要完成人</w:t>
            </w:r>
          </w:p>
        </w:tc>
        <w:tc>
          <w:tcPr>
            <w:tcW w:w="7087" w:type="dxa"/>
            <w:tcBorders>
              <w:left w:val="single" w:color="auto" w:sz="4" w:space="0"/>
            </w:tcBorders>
            <w:vAlign w:val="center"/>
          </w:tcPr>
          <w:p w14:paraId="4518C86B">
            <w:pPr>
              <w:spacing w:line="440" w:lineRule="exact"/>
              <w:rPr>
                <w:rFonts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李永泉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，排名1，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教授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，工作单位；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浙江大学</w:t>
            </w:r>
          </w:p>
          <w:p w14:paraId="4C6F132F">
            <w:pPr>
              <w:spacing w:line="440" w:lineRule="exact"/>
              <w:rPr>
                <w:rFonts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吴萍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，排名2，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高工</w:t>
            </w:r>
            <w:bookmarkStart w:id="8" w:name="OLE_LINK3"/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杭州中美华东制药有限公司</w:t>
            </w:r>
            <w:bookmarkEnd w:id="8"/>
          </w:p>
          <w:p w14:paraId="593AAA96">
            <w:pPr>
              <w:spacing w:line="440" w:lineRule="exact"/>
              <w:rPr>
                <w:rFonts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张雪霞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，排名3，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高工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华北制药集团新药研发有限责任公司</w:t>
            </w:r>
          </w:p>
          <w:p w14:paraId="78D3D7B5">
            <w:pPr>
              <w:spacing w:line="440" w:lineRule="exact"/>
              <w:rPr>
                <w:rFonts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张薇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，排名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4，高工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杭州中美华东制药有限公司</w:t>
            </w:r>
          </w:p>
          <w:p w14:paraId="7F66E428">
            <w:pPr>
              <w:spacing w:line="440" w:lineRule="exact"/>
              <w:rPr>
                <w:rFonts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江辉，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排名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5，教授，浙江大学</w:t>
            </w:r>
          </w:p>
          <w:p w14:paraId="40501480">
            <w:pPr>
              <w:spacing w:line="440" w:lineRule="exact"/>
              <w:rPr>
                <w:rFonts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韩敏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，排名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6，教授级高工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杭州中美华东制药有限公司</w:t>
            </w:r>
          </w:p>
          <w:p w14:paraId="41507ECB">
            <w:pPr>
              <w:spacing w:line="440" w:lineRule="exact"/>
              <w:rPr>
                <w:rFonts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李盛英，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排名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7，教授，山东大学</w:t>
            </w:r>
          </w:p>
          <w:p w14:paraId="2C66BDB7">
            <w:pPr>
              <w:spacing w:line="440" w:lineRule="exact"/>
              <w:rPr>
                <w:rFonts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毛旭明，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排名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8，教授，浙江大学</w:t>
            </w:r>
          </w:p>
          <w:p w14:paraId="33DE39C6">
            <w:pPr>
              <w:spacing w:line="440" w:lineRule="exact"/>
              <w:rPr>
                <w:rFonts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郑金琪，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排名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9，浙江省食品药品检验研究院</w:t>
            </w:r>
          </w:p>
          <w:p w14:paraId="646FDAEB">
            <w:pPr>
              <w:spacing w:line="440" w:lineRule="exact"/>
              <w:rPr>
                <w:rFonts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郭绍定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排名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10，高工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杭州中美华东制药有限公司</w:t>
            </w:r>
          </w:p>
          <w:p w14:paraId="7E9D9CB3">
            <w:pPr>
              <w:spacing w:line="440" w:lineRule="exact"/>
              <w:rPr>
                <w:rFonts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吕中原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排名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11，博士，台州市椒江区启臻合成生物技术研究院</w:t>
            </w:r>
          </w:p>
          <w:p w14:paraId="3D5186EC">
            <w:pPr>
              <w:spacing w:line="440" w:lineRule="exact"/>
              <w:rPr>
                <w:rFonts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陈新爱，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排名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12，副研究员，浙江大学</w:t>
            </w:r>
          </w:p>
          <w:p w14:paraId="64BD0E69">
            <w:pPr>
              <w:spacing w:line="440" w:lineRule="exact"/>
              <w:rPr>
                <w:rFonts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王新月，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排名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13，高工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杭州中美华东制药有限公司</w:t>
            </w:r>
          </w:p>
        </w:tc>
      </w:tr>
      <w:tr w14:paraId="0E5A8D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1560" w:type="dxa"/>
            <w:tcBorders>
              <w:right w:val="single" w:color="auto" w:sz="4" w:space="0"/>
            </w:tcBorders>
            <w:vAlign w:val="center"/>
          </w:tcPr>
          <w:p w14:paraId="7616BAAB">
            <w:pPr>
              <w:spacing w:line="440" w:lineRule="exact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ascii="宋体" w:hAnsi="宋体"/>
                <w:b/>
                <w:bCs/>
                <w:sz w:val="28"/>
                <w:szCs w:val="28"/>
              </w:rPr>
              <w:t>主要完成单位</w:t>
            </w:r>
          </w:p>
        </w:tc>
        <w:tc>
          <w:tcPr>
            <w:tcW w:w="7087" w:type="dxa"/>
            <w:tcBorders>
              <w:left w:val="single" w:color="auto" w:sz="4" w:space="0"/>
            </w:tcBorders>
            <w:vAlign w:val="center"/>
          </w:tcPr>
          <w:p w14:paraId="27E54A15">
            <w:pPr>
              <w:spacing w:line="440" w:lineRule="exact"/>
              <w:jc w:val="left"/>
              <w:rPr>
                <w:rFonts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1.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 xml:space="preserve"> 浙江大学 </w:t>
            </w:r>
          </w:p>
          <w:p w14:paraId="3BD06ADD">
            <w:pPr>
              <w:spacing w:line="440" w:lineRule="exact"/>
              <w:jc w:val="left"/>
              <w:rPr>
                <w:rFonts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2.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 xml:space="preserve"> 杭州中美华东制药有限公司</w:t>
            </w:r>
          </w:p>
          <w:p w14:paraId="01D9A1CE">
            <w:pPr>
              <w:spacing w:line="440" w:lineRule="exact"/>
              <w:jc w:val="left"/>
              <w:rPr>
                <w:rFonts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3.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 xml:space="preserve"> 华北制药集团新药研发有限责任公司</w:t>
            </w:r>
          </w:p>
          <w:p w14:paraId="4FCE4495">
            <w:pPr>
              <w:spacing w:line="440" w:lineRule="exact"/>
              <w:jc w:val="left"/>
              <w:rPr>
                <w:rFonts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 xml:space="preserve">4. 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山东大学</w:t>
            </w:r>
          </w:p>
          <w:p w14:paraId="558775E6">
            <w:pPr>
              <w:spacing w:line="440" w:lineRule="exact"/>
              <w:jc w:val="left"/>
              <w:rPr>
                <w:rFonts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5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. 浙江省食品药品检验研究院</w:t>
            </w:r>
          </w:p>
          <w:p w14:paraId="1865F972">
            <w:pPr>
              <w:spacing w:line="440" w:lineRule="exact"/>
              <w:jc w:val="left"/>
              <w:rPr>
                <w:rFonts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6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. 台州市椒江区启臻合成生物技术研究院</w:t>
            </w:r>
          </w:p>
        </w:tc>
      </w:tr>
      <w:tr w14:paraId="203DBF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560" w:type="dxa"/>
            <w:vAlign w:val="center"/>
          </w:tcPr>
          <w:p w14:paraId="48831D10">
            <w:pPr>
              <w:jc w:val="center"/>
              <w:rPr>
                <w:rStyle w:val="36"/>
                <w:rFonts w:ascii="宋体" w:hAnsi="宋体"/>
                <w:color w:val="auto"/>
                <w:sz w:val="28"/>
                <w:szCs w:val="28"/>
              </w:rPr>
            </w:pPr>
            <w:r>
              <w:rPr>
                <w:rStyle w:val="36"/>
                <w:rFonts w:ascii="宋体" w:hAnsi="宋体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7087" w:type="dxa"/>
            <w:vAlign w:val="center"/>
          </w:tcPr>
          <w:p w14:paraId="24579E8D">
            <w:pPr>
              <w:contextualSpacing/>
              <w:jc w:val="center"/>
              <w:rPr>
                <w:rStyle w:val="36"/>
                <w:rFonts w:asciiTheme="minorEastAsia" w:hAnsiTheme="minorEastAsia" w:eastAsiaTheme="minorEastAsia"/>
                <w:b w:val="0"/>
                <w:color w:val="auto"/>
              </w:rPr>
            </w:pPr>
            <w:r>
              <w:rPr>
                <w:rStyle w:val="36"/>
                <w:rFonts w:hint="eastAsia" w:asciiTheme="minorEastAsia" w:hAnsiTheme="minorEastAsia" w:eastAsiaTheme="minorEastAsia"/>
                <w:b w:val="0"/>
                <w:color w:val="auto"/>
              </w:rPr>
              <w:t>浙江大学</w:t>
            </w:r>
          </w:p>
        </w:tc>
      </w:tr>
      <w:tr w14:paraId="53A5E3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6" w:hRule="atLeast"/>
        </w:trPr>
        <w:tc>
          <w:tcPr>
            <w:tcW w:w="1560" w:type="dxa"/>
            <w:vAlign w:val="center"/>
          </w:tcPr>
          <w:p w14:paraId="0012A9FC">
            <w:pPr>
              <w:jc w:val="center"/>
              <w:rPr>
                <w:rStyle w:val="36"/>
                <w:rFonts w:ascii="宋体" w:hAnsi="宋体"/>
                <w:color w:val="auto"/>
                <w:sz w:val="28"/>
                <w:szCs w:val="28"/>
              </w:rPr>
            </w:pPr>
            <w:r>
              <w:rPr>
                <w:rStyle w:val="36"/>
                <w:rFonts w:ascii="宋体" w:hAnsi="宋体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7087" w:type="dxa"/>
            <w:vAlign w:val="center"/>
          </w:tcPr>
          <w:p w14:paraId="41E49223">
            <w:pPr>
              <w:adjustRightInd w:val="0"/>
              <w:snapToGrid w:val="0"/>
              <w:spacing w:before="240" w:line="312" w:lineRule="auto"/>
              <w:ind w:firstLine="480" w:firstLineChars="200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该项目成功构建了以“合成途径和调控通路重构、外排转运体系人工构建、发酵过程智能优化”等技术为核心的聚酮类抗排异药物合成生物体系重构技术，</w:t>
            </w:r>
            <w:r>
              <w:rPr>
                <w:rFonts w:ascii="宋体" w:hAnsi="宋体"/>
                <w:sz w:val="24"/>
                <w:szCs w:val="24"/>
              </w:rPr>
              <w:t>突破了发酵水平低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、杂质含量高等产业瓶颈，</w:t>
            </w: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大幅提升了药物质量、降低了生产成本，技术水平达国际领先，填补了我国聚酮类抗排异药物生产技术空白，开创了我国聚酮类抗排异药物产业先河。</w:t>
            </w:r>
          </w:p>
          <w:p w14:paraId="512AD5F0">
            <w:pPr>
              <w:adjustRightInd w:val="0"/>
              <w:snapToGrid w:val="0"/>
              <w:spacing w:line="331" w:lineRule="auto"/>
              <w:ind w:firstLine="480" w:firstLineChars="200"/>
              <w:rPr>
                <w:rStyle w:val="36"/>
                <w:rFonts w:asciiTheme="minorEastAsia" w:hAnsiTheme="minorEastAsia" w:eastAsiaTheme="minorEastAsia"/>
                <w:b w:val="0"/>
                <w:color w:val="auto"/>
              </w:rPr>
            </w:pPr>
            <w:r>
              <w:rPr>
                <w:rFonts w:ascii="宋体" w:hAnsi="宋体"/>
                <w:sz w:val="24"/>
                <w:szCs w:val="24"/>
              </w:rPr>
              <w:t>项目授权国内外发明专利1</w:t>
            </w:r>
            <w:r>
              <w:rPr>
                <w:rFonts w:hint="eastAsia" w:ascii="宋体" w:hAnsi="宋体"/>
                <w:sz w:val="24"/>
                <w:szCs w:val="24"/>
              </w:rPr>
              <w:t>4</w:t>
            </w:r>
            <w:r>
              <w:rPr>
                <w:rFonts w:ascii="宋体" w:hAnsi="宋体"/>
                <w:sz w:val="24"/>
                <w:szCs w:val="24"/>
              </w:rPr>
              <w:t>件，发表论文23篇</w:t>
            </w:r>
            <w:r>
              <w:rPr>
                <w:rFonts w:hint="eastAsia" w:ascii="宋体" w:hAnsi="宋体"/>
                <w:sz w:val="24"/>
                <w:szCs w:val="24"/>
              </w:rPr>
              <w:t>；</w:t>
            </w:r>
            <w:r>
              <w:rPr>
                <w:rFonts w:ascii="宋体" w:hAnsi="宋体"/>
                <w:sz w:val="24"/>
                <w:szCs w:val="24"/>
              </w:rPr>
              <w:t>获批新药证书、注册批文和质量标准</w:t>
            </w:r>
            <w:r>
              <w:rPr>
                <w:rFonts w:hint="eastAsia" w:ascii="宋体" w:hAnsi="宋体"/>
                <w:sz w:val="24"/>
                <w:szCs w:val="24"/>
              </w:rPr>
              <w:t>30多</w:t>
            </w:r>
            <w:r>
              <w:rPr>
                <w:rFonts w:ascii="宋体" w:hAnsi="宋体"/>
                <w:sz w:val="24"/>
                <w:szCs w:val="24"/>
              </w:rPr>
              <w:t>项，</w:t>
            </w:r>
            <w:r>
              <w:rPr>
                <w:rFonts w:hint="eastAsia" w:ascii="宋体" w:hAnsi="宋体"/>
                <w:sz w:val="24"/>
                <w:szCs w:val="24"/>
              </w:rPr>
              <w:t>其中</w:t>
            </w:r>
            <w:r>
              <w:rPr>
                <w:rFonts w:ascii="宋体" w:hAnsi="宋体"/>
                <w:sz w:val="24"/>
                <w:szCs w:val="24"/>
              </w:rPr>
              <w:t>华东医药国内首家通过他克莫司一致性评价和独家获美国FDA批件</w:t>
            </w:r>
            <w:r>
              <w:rPr>
                <w:rFonts w:hint="eastAsia" w:ascii="宋体" w:hAnsi="宋体"/>
                <w:sz w:val="24"/>
                <w:szCs w:val="24"/>
              </w:rPr>
              <w:t>；</w:t>
            </w:r>
            <w:r>
              <w:rPr>
                <w:rFonts w:ascii="宋体" w:hAnsi="宋体"/>
                <w:sz w:val="24"/>
                <w:szCs w:val="24"/>
              </w:rPr>
              <w:t>获中国发明协会发明创新一等奖</w:t>
            </w:r>
            <w:r>
              <w:rPr>
                <w:rFonts w:hint="eastAsia" w:ascii="宋体" w:hAnsi="宋体"/>
                <w:sz w:val="24"/>
                <w:szCs w:val="24"/>
              </w:rPr>
              <w:t>和</w:t>
            </w:r>
            <w:r>
              <w:rPr>
                <w:rFonts w:ascii="宋体" w:hAnsi="宋体"/>
                <w:sz w:val="24"/>
                <w:szCs w:val="24"/>
              </w:rPr>
              <w:t>中国石化联合会技术发明一等奖</w:t>
            </w:r>
            <w:r>
              <w:rPr>
                <w:rFonts w:hint="eastAsia" w:ascii="宋体" w:hAnsi="宋体"/>
                <w:sz w:val="24"/>
                <w:szCs w:val="24"/>
              </w:rPr>
              <w:t>。项目</w:t>
            </w:r>
            <w:r>
              <w:rPr>
                <w:rFonts w:ascii="宋体" w:hAnsi="宋体"/>
                <w:sz w:val="24"/>
                <w:szCs w:val="24"/>
              </w:rPr>
              <w:t>近3年实现销售</w:t>
            </w:r>
            <w:r>
              <w:rPr>
                <w:rFonts w:hint="eastAsia" w:ascii="宋体" w:hAnsi="宋体"/>
                <w:sz w:val="24"/>
                <w:szCs w:val="24"/>
              </w:rPr>
              <w:t>超70</w:t>
            </w:r>
            <w:r>
              <w:rPr>
                <w:rFonts w:ascii="宋体" w:hAnsi="宋体"/>
                <w:sz w:val="24"/>
                <w:szCs w:val="24"/>
              </w:rPr>
              <w:t>亿元、利税</w:t>
            </w:r>
            <w:r>
              <w:rPr>
                <w:rFonts w:hint="eastAsia" w:ascii="宋体" w:hAnsi="宋体"/>
                <w:sz w:val="24"/>
                <w:szCs w:val="24"/>
              </w:rPr>
              <w:t>超</w:t>
            </w:r>
            <w:r>
              <w:rPr>
                <w:rFonts w:ascii="宋体" w:hAnsi="宋体"/>
                <w:sz w:val="24"/>
                <w:szCs w:val="24"/>
              </w:rPr>
              <w:t>2</w:t>
            </w:r>
            <w:r>
              <w:rPr>
                <w:rFonts w:hint="eastAsia" w:ascii="宋体" w:hAnsi="宋体"/>
                <w:sz w:val="24"/>
                <w:szCs w:val="24"/>
              </w:rPr>
              <w:t>0</w:t>
            </w:r>
            <w:r>
              <w:rPr>
                <w:rFonts w:ascii="宋体" w:hAnsi="宋体"/>
                <w:sz w:val="24"/>
                <w:szCs w:val="24"/>
              </w:rPr>
              <w:t>亿元，</w:t>
            </w:r>
            <w:r>
              <w:rPr>
                <w:rFonts w:hint="eastAsia" w:ascii="宋体" w:hAnsi="宋体"/>
                <w:sz w:val="24"/>
                <w:szCs w:val="24"/>
              </w:rPr>
              <w:t>临床</w:t>
            </w:r>
            <w:r>
              <w:rPr>
                <w:rFonts w:ascii="宋体" w:hAnsi="宋体"/>
                <w:sz w:val="24"/>
                <w:szCs w:val="24"/>
              </w:rPr>
              <w:t>应用覆盖全国4000多家医院。</w:t>
            </w:r>
            <w:r>
              <w:rPr>
                <w:rFonts w:hint="eastAsia" w:ascii="宋体" w:hAnsi="宋体"/>
                <w:sz w:val="24"/>
                <w:szCs w:val="24"/>
              </w:rPr>
              <w:t>华东医药领衔的国产抗排异药物中，近3年销售量</w:t>
            </w:r>
            <w:r>
              <w:rPr>
                <w:rFonts w:ascii="宋体" w:hAnsi="宋体"/>
                <w:sz w:val="24"/>
                <w:szCs w:val="24"/>
              </w:rPr>
              <w:t>他克莫司</w:t>
            </w:r>
            <w:r>
              <w:rPr>
                <w:rFonts w:hint="eastAsia" w:ascii="宋体" w:hAnsi="宋体"/>
                <w:sz w:val="24"/>
                <w:szCs w:val="24"/>
              </w:rPr>
              <w:t>平均占比超</w:t>
            </w:r>
            <w:r>
              <w:rPr>
                <w:rFonts w:hint="eastAsia" w:ascii="宋体" w:hAnsi="宋体"/>
                <w:b/>
                <w:bCs/>
                <w:sz w:val="24"/>
                <w:szCs w:val="24"/>
              </w:rPr>
              <w:t>50%、</w:t>
            </w:r>
            <w:r>
              <w:rPr>
                <w:rFonts w:ascii="宋体" w:hAnsi="宋体"/>
                <w:sz w:val="24"/>
                <w:szCs w:val="24"/>
              </w:rPr>
              <w:t>吗替麦考酚酯</w:t>
            </w:r>
            <w:r>
              <w:rPr>
                <w:rFonts w:hint="eastAsia" w:ascii="宋体" w:hAnsi="宋体"/>
                <w:sz w:val="24"/>
                <w:szCs w:val="24"/>
              </w:rPr>
              <w:t>平均占比超</w:t>
            </w:r>
            <w:r>
              <w:rPr>
                <w:rFonts w:hint="eastAsia" w:ascii="宋体" w:hAnsi="宋体"/>
                <w:b/>
                <w:bCs/>
                <w:sz w:val="24"/>
                <w:szCs w:val="24"/>
              </w:rPr>
              <w:t>70%</w:t>
            </w:r>
            <w:r>
              <w:rPr>
                <w:rFonts w:hint="eastAsia" w:ascii="宋体" w:hAnsi="宋体"/>
                <w:sz w:val="24"/>
                <w:szCs w:val="24"/>
              </w:rPr>
              <w:t>、西罗莫司平均占比超</w:t>
            </w:r>
            <w:r>
              <w:rPr>
                <w:rFonts w:hint="eastAsia" w:ascii="宋体" w:hAnsi="宋体"/>
                <w:b/>
                <w:bCs/>
                <w:sz w:val="24"/>
                <w:szCs w:val="24"/>
              </w:rPr>
              <w:t>25%</w:t>
            </w:r>
            <w:r>
              <w:rPr>
                <w:rFonts w:hint="eastAsia" w:ascii="宋体" w:hAnsi="宋体"/>
                <w:sz w:val="24"/>
                <w:szCs w:val="24"/>
              </w:rPr>
              <w:t>，</w:t>
            </w:r>
            <w:r>
              <w:rPr>
                <w:rFonts w:ascii="宋体" w:hAnsi="宋体"/>
                <w:sz w:val="24"/>
                <w:szCs w:val="24"/>
              </w:rPr>
              <w:t>突破了国际制药巨头</w:t>
            </w:r>
            <w:r>
              <w:rPr>
                <w:rFonts w:hint="eastAsia" w:ascii="宋体" w:hAnsi="宋体"/>
                <w:sz w:val="24"/>
                <w:szCs w:val="24"/>
              </w:rPr>
              <w:t>对</w:t>
            </w:r>
            <w:r>
              <w:rPr>
                <w:rFonts w:ascii="宋体" w:hAnsi="宋体"/>
                <w:sz w:val="24"/>
                <w:szCs w:val="24"/>
              </w:rPr>
              <w:t>国内市场</w:t>
            </w:r>
            <w:r>
              <w:rPr>
                <w:rFonts w:hint="eastAsia" w:ascii="宋体" w:hAnsi="宋体"/>
                <w:sz w:val="24"/>
                <w:szCs w:val="24"/>
              </w:rPr>
              <w:t>的</w:t>
            </w:r>
            <w:r>
              <w:rPr>
                <w:rFonts w:ascii="宋体" w:hAnsi="宋体"/>
                <w:sz w:val="24"/>
                <w:szCs w:val="24"/>
              </w:rPr>
              <w:t>垄断</w:t>
            </w:r>
            <w:r>
              <w:rPr>
                <w:rFonts w:hint="eastAsia" w:ascii="宋体" w:hAnsi="宋体"/>
                <w:sz w:val="24"/>
                <w:szCs w:val="24"/>
              </w:rPr>
              <w:t>，是合成生物技术支撑制药产业转型升级和提升市场竞争力</w:t>
            </w:r>
            <w:r>
              <w:rPr>
                <w:rFonts w:hint="eastAsia" w:ascii="宋体" w:hAnsi="宋体"/>
                <w:color w:val="000000"/>
                <w:sz w:val="24"/>
                <w:szCs w:val="24"/>
              </w:rPr>
              <w:t>的典范</w:t>
            </w:r>
            <w:r>
              <w:rPr>
                <w:rFonts w:hint="eastAsia" w:ascii="宋体" w:hAnsi="宋体"/>
                <w:sz w:val="24"/>
                <w:szCs w:val="24"/>
              </w:rPr>
              <w:t>。</w:t>
            </w:r>
          </w:p>
        </w:tc>
      </w:tr>
    </w:tbl>
    <w:p w14:paraId="76E2C92D">
      <w:pPr>
        <w:rPr>
          <w:rFonts w:eastAsia="仿宋_GB2312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39CB31E-47D1-4743-89F5-6AD09784E05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B4D5D54-C453-43BE-8478-78BB71CEE3B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A7875E3-B8B5-449A-9B1C-70EDA8AE961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F4C2862-5DE1-4887-8494-3513EEDCF27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E7FCD61-E9E1-4EBA-A7E5-6B204BB6353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E9781CF5-9358-40C8-B20E-D3EDA23AB3A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7C256049-819C-4D2F-95DD-4E6BDA8B1F62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B09CDCC7-F03E-4B91-8630-7FAD2486B50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9" w:fontKey="{E4C77E8E-68F8-495E-999A-5CAC8E4A59C4}"/>
  </w:font>
  <w:font w:name="___WRD_EMBED_SUB_45">
    <w:altName w:val="宋体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10" w:fontKey="{55D76CF5-71AB-4FB2-BC5E-3FAE496D22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497612C1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37A27F"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2E39"/>
    <w:rsid w:val="000B70B3"/>
    <w:rsid w:val="000C632A"/>
    <w:rsid w:val="000D2F33"/>
    <w:rsid w:val="000D451E"/>
    <w:rsid w:val="000D7CE6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75E90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B5F40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4F79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D3E09"/>
    <w:rsid w:val="002D5132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6FC8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043F"/>
    <w:rsid w:val="003F1E9D"/>
    <w:rsid w:val="003F76A0"/>
    <w:rsid w:val="00401E30"/>
    <w:rsid w:val="004179C8"/>
    <w:rsid w:val="00420056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13A5"/>
    <w:rsid w:val="004B531C"/>
    <w:rsid w:val="004C2337"/>
    <w:rsid w:val="004C5324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679"/>
    <w:rsid w:val="00532D5A"/>
    <w:rsid w:val="005354E4"/>
    <w:rsid w:val="005368DC"/>
    <w:rsid w:val="00552729"/>
    <w:rsid w:val="005563CE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06B8A"/>
    <w:rsid w:val="00611BDC"/>
    <w:rsid w:val="006177DC"/>
    <w:rsid w:val="00623BD2"/>
    <w:rsid w:val="00626265"/>
    <w:rsid w:val="006269F8"/>
    <w:rsid w:val="00642EBC"/>
    <w:rsid w:val="00643B2E"/>
    <w:rsid w:val="00646AD1"/>
    <w:rsid w:val="00653D65"/>
    <w:rsid w:val="0066586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043FA"/>
    <w:rsid w:val="007116D0"/>
    <w:rsid w:val="00725CE5"/>
    <w:rsid w:val="0073019F"/>
    <w:rsid w:val="00734046"/>
    <w:rsid w:val="00735560"/>
    <w:rsid w:val="00736027"/>
    <w:rsid w:val="007370E0"/>
    <w:rsid w:val="0074555C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751A0"/>
    <w:rsid w:val="00784D44"/>
    <w:rsid w:val="00791876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0712A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1783"/>
    <w:rsid w:val="00872CCF"/>
    <w:rsid w:val="00890A44"/>
    <w:rsid w:val="00891DDA"/>
    <w:rsid w:val="00894724"/>
    <w:rsid w:val="008A09D1"/>
    <w:rsid w:val="008A37FE"/>
    <w:rsid w:val="008B5F0B"/>
    <w:rsid w:val="008B78AD"/>
    <w:rsid w:val="008C2F66"/>
    <w:rsid w:val="008C37F3"/>
    <w:rsid w:val="008C5BE5"/>
    <w:rsid w:val="008C7FED"/>
    <w:rsid w:val="0090595F"/>
    <w:rsid w:val="0090670A"/>
    <w:rsid w:val="00906781"/>
    <w:rsid w:val="00917089"/>
    <w:rsid w:val="009211BA"/>
    <w:rsid w:val="00922838"/>
    <w:rsid w:val="009339E2"/>
    <w:rsid w:val="00942CCA"/>
    <w:rsid w:val="00945930"/>
    <w:rsid w:val="00947118"/>
    <w:rsid w:val="009529F5"/>
    <w:rsid w:val="00956E82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C495C"/>
    <w:rsid w:val="009C5166"/>
    <w:rsid w:val="009D1070"/>
    <w:rsid w:val="009D2804"/>
    <w:rsid w:val="009D3350"/>
    <w:rsid w:val="009D66DD"/>
    <w:rsid w:val="009F0766"/>
    <w:rsid w:val="009F19B6"/>
    <w:rsid w:val="009F4B40"/>
    <w:rsid w:val="00A015FD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260A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E7DD8"/>
    <w:rsid w:val="00AF0A71"/>
    <w:rsid w:val="00AF2833"/>
    <w:rsid w:val="00AF2A0E"/>
    <w:rsid w:val="00AF3649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66D0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D0ED0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0C75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C5FB4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770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2F24"/>
    <w:rsid w:val="00D66E92"/>
    <w:rsid w:val="00D75966"/>
    <w:rsid w:val="00D76DA8"/>
    <w:rsid w:val="00D76EB9"/>
    <w:rsid w:val="00D97840"/>
    <w:rsid w:val="00DC0F80"/>
    <w:rsid w:val="00DC1C67"/>
    <w:rsid w:val="00DD541F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285C"/>
    <w:rsid w:val="00E35BC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2302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A7D62"/>
    <w:rsid w:val="00EB2FD4"/>
    <w:rsid w:val="00EB7300"/>
    <w:rsid w:val="00EC5664"/>
    <w:rsid w:val="00EE038A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537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0715689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1A5A94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0F9601A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semiHidden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标题 1 字符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8"/>
    <w:link w:val="10"/>
    <w:qFormat/>
    <w:uiPriority w:val="0"/>
    <w:rPr>
      <w:sz w:val="18"/>
      <w:szCs w:val="18"/>
    </w:rPr>
  </w:style>
  <w:style w:type="character" w:customStyle="1" w:styleId="26">
    <w:name w:val="页脚 字符"/>
    <w:basedOn w:val="18"/>
    <w:link w:val="9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字符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字符"/>
    <w:basedOn w:val="18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字符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字符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字符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字符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8">
    <w:name w:val="_Style 37"/>
    <w:basedOn w:val="1"/>
    <w:next w:val="32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1419</Words>
  <Characters>1660</Characters>
  <Lines>12</Lines>
  <Paragraphs>3</Paragraphs>
  <TotalTime>360</TotalTime>
  <ScaleCrop>false</ScaleCrop>
  <LinksUpToDate>false</LinksUpToDate>
  <CharactersWithSpaces>1684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2022-01-26T08:15:00Z</dcterms:created>
  <dc:creator>胡胜链</dc:creator>
  <cp:lastModifiedBy>葛格</cp:lastModifiedBy>
  <cp:lastPrinted>2022-01-28T09:53:00Z</cp:lastPrinted>
  <dcterms:modified xsi:type="dcterms:W3CDTF">2025-09-16T02:02:58Z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A237C3D763A844089DBA33714DE1B33E_13</vt:lpwstr>
  </property>
  <property fmtid="{D5CDD505-2E9C-101B-9397-08002B2CF9AE}" pid="4" name="KSOTemplateDocerSaveRecord">
    <vt:lpwstr>eyJoZGlkIjoiNmM0Njk2MDkwZTBmNDZmNGIzYzhlZjc1MDQ1YzYzMWIiLCJ1c2VySWQiOiIzOTMwNzQ2MTcifQ==</vt:lpwstr>
  </property>
</Properties>
</file>