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0F6E0">
      <w:pPr>
        <w:jc w:val="center"/>
        <w:rPr>
          <w:rStyle w:val="10"/>
          <w:rFonts w:eastAsia="方正小标宋简体"/>
          <w:bCs w:val="0"/>
          <w:color w:val="auto"/>
          <w:sz w:val="36"/>
          <w:szCs w:val="36"/>
        </w:rPr>
      </w:pPr>
      <w:bookmarkStart w:id="0" w:name="_GoBack"/>
      <w:bookmarkEnd w:id="0"/>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14:paraId="7E3BF4AB">
      <w:pPr>
        <w:spacing w:line="440" w:lineRule="exact"/>
        <w:rPr>
          <w:rFonts w:eastAsia="仿宋_GB2312"/>
          <w:sz w:val="28"/>
          <w:szCs w:val="24"/>
        </w:rPr>
      </w:pPr>
      <w:r>
        <w:rPr>
          <w:rFonts w:eastAsia="仿宋_GB2312"/>
          <w:sz w:val="28"/>
          <w:szCs w:val="24"/>
        </w:rPr>
        <w:t>提名奖项：（科学技术进步奖）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560F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5D2649B7">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14:paraId="20E6EC97">
            <w:pPr>
              <w:jc w:val="center"/>
              <w:rPr>
                <w:rStyle w:val="10"/>
                <w:rFonts w:eastAsia="仿宋_GB2312"/>
                <w:b w:val="0"/>
                <w:color w:val="auto"/>
                <w:sz w:val="28"/>
              </w:rPr>
            </w:pPr>
            <w:r>
              <w:rPr>
                <w:rStyle w:val="10"/>
                <w:rFonts w:hint="eastAsia" w:eastAsia="仿宋_GB2312"/>
                <w:b w:val="0"/>
                <w:color w:val="auto"/>
                <w:sz w:val="28"/>
              </w:rPr>
              <w:t>围产医学精准化与微创化关键技术体系构建及临床应用推广</w:t>
            </w:r>
          </w:p>
        </w:tc>
      </w:tr>
      <w:tr w14:paraId="1AC3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1D7361B7">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14:paraId="6E785E3A">
            <w:pPr>
              <w:jc w:val="center"/>
              <w:rPr>
                <w:rStyle w:val="10"/>
                <w:rFonts w:eastAsia="仿宋_GB2312"/>
                <w:b w:val="0"/>
                <w:color w:val="auto"/>
                <w:sz w:val="28"/>
              </w:rPr>
            </w:pPr>
            <w:r>
              <w:rPr>
                <w:rStyle w:val="10"/>
                <w:rFonts w:hint="eastAsia" w:eastAsia="仿宋_GB2312"/>
                <w:b w:val="0"/>
                <w:color w:val="auto"/>
                <w:sz w:val="28"/>
              </w:rPr>
              <w:t>一等奖</w:t>
            </w:r>
          </w:p>
        </w:tc>
      </w:tr>
      <w:tr w14:paraId="0B98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656E7274">
            <w:pPr>
              <w:spacing w:line="440" w:lineRule="exact"/>
              <w:jc w:val="center"/>
              <w:rPr>
                <w:rFonts w:eastAsia="仿宋_GB2312"/>
                <w:bCs/>
                <w:sz w:val="28"/>
                <w:szCs w:val="24"/>
              </w:rPr>
            </w:pPr>
            <w:r>
              <w:rPr>
                <w:rFonts w:eastAsia="仿宋_GB2312"/>
                <w:bCs/>
                <w:sz w:val="28"/>
                <w:szCs w:val="24"/>
              </w:rPr>
              <w:t>提名书</w:t>
            </w:r>
          </w:p>
          <w:p w14:paraId="5929A7B4">
            <w:pPr>
              <w:spacing w:line="440" w:lineRule="exact"/>
              <w:jc w:val="center"/>
              <w:rPr>
                <w:rFonts w:eastAsia="仿宋_GB2312"/>
                <w:bCs/>
                <w:sz w:val="28"/>
                <w:szCs w:val="24"/>
              </w:rPr>
            </w:pPr>
            <w:r>
              <w:rPr>
                <w:rFonts w:eastAsia="仿宋_GB2312"/>
                <w:bCs/>
                <w:sz w:val="28"/>
                <w:szCs w:val="24"/>
              </w:rPr>
              <w:t>相关内容</w:t>
            </w:r>
          </w:p>
          <w:p w14:paraId="2E137CE2">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018DC276">
            <w:pPr>
              <w:spacing w:line="440" w:lineRule="exact"/>
              <w:rPr>
                <w:rFonts w:eastAsia="仿宋_GB2312"/>
                <w:bCs/>
                <w:sz w:val="24"/>
                <w:szCs w:val="24"/>
              </w:rPr>
            </w:pPr>
            <w:r>
              <w:rPr>
                <w:rFonts w:hint="eastAsia" w:eastAsia="仿宋_GB2312"/>
                <w:bCs/>
                <w:sz w:val="24"/>
                <w:szCs w:val="24"/>
              </w:rPr>
              <w:t>主要知识产权和规范标准目录：</w:t>
            </w:r>
          </w:p>
          <w:p w14:paraId="49A26195">
            <w:pPr>
              <w:spacing w:line="440" w:lineRule="exact"/>
              <w:rPr>
                <w:rFonts w:eastAsia="仿宋_GB2312"/>
                <w:bCs/>
                <w:sz w:val="24"/>
                <w:szCs w:val="24"/>
              </w:rPr>
            </w:pPr>
            <w:r>
              <w:rPr>
                <w:rFonts w:hint="eastAsia" w:eastAsia="仿宋_GB2312"/>
                <w:bCs/>
                <w:sz w:val="24"/>
                <w:szCs w:val="24"/>
              </w:rPr>
              <w:t>1、发明专利：一种产时宫外手术用宫腔填充装置，中国，ZL202011402785.7，2025年02月07日，国家知识产权局，浙江大学医学院附属妇产科医院，罗琼;赵柏惠;董添，有效</w:t>
            </w:r>
          </w:p>
          <w:p w14:paraId="5B8EE9B0">
            <w:pPr>
              <w:spacing w:line="440" w:lineRule="exact"/>
              <w:rPr>
                <w:rFonts w:eastAsia="仿宋_GB2312"/>
                <w:bCs/>
                <w:sz w:val="24"/>
                <w:szCs w:val="24"/>
              </w:rPr>
            </w:pPr>
            <w:r>
              <w:rPr>
                <w:rFonts w:hint="eastAsia" w:eastAsia="仿宋_GB2312"/>
                <w:bCs/>
                <w:sz w:val="24"/>
                <w:szCs w:val="24"/>
              </w:rPr>
              <w:t>2、发明专利：一种宫颈环扎专用辅助器具，中国，ZL202110045506.04，2025年02月28日，国家知识产权局，浙江大学医学院附属妇产科医院，董添;罗琼;赵柏惠;濮玉群，有效</w:t>
            </w:r>
          </w:p>
          <w:p w14:paraId="6E9940E3">
            <w:pPr>
              <w:spacing w:line="440" w:lineRule="exact"/>
              <w:rPr>
                <w:rFonts w:eastAsia="仿宋_GB2312"/>
                <w:bCs/>
                <w:sz w:val="24"/>
                <w:szCs w:val="24"/>
              </w:rPr>
            </w:pPr>
            <w:r>
              <w:rPr>
                <w:rFonts w:hint="eastAsia" w:eastAsia="仿宋_GB2312"/>
                <w:bCs/>
                <w:sz w:val="24"/>
                <w:szCs w:val="24"/>
              </w:rPr>
              <w:t>3、发明专利：一种羊水/绒毛膜细胞原位培养专用培养装置及应用，中国，</w:t>
            </w:r>
            <w:r>
              <w:rPr>
                <w:rFonts w:eastAsia="仿宋_GB2312"/>
                <w:bCs/>
                <w:sz w:val="24"/>
                <w:szCs w:val="24"/>
              </w:rPr>
              <w:t>ZL201410188282.2</w:t>
            </w:r>
            <w:r>
              <w:rPr>
                <w:rFonts w:hint="eastAsia" w:eastAsia="仿宋_GB2312"/>
                <w:bCs/>
                <w:sz w:val="24"/>
                <w:szCs w:val="24"/>
              </w:rPr>
              <w:t>，2015年7月29日，国家知识产权局，浙江博圣生物技术股份有限公司，黄成刚;王强;张民，有效</w:t>
            </w:r>
          </w:p>
          <w:p w14:paraId="4E6053A3">
            <w:pPr>
              <w:spacing w:line="440" w:lineRule="exact"/>
              <w:rPr>
                <w:rFonts w:eastAsia="仿宋_GB2312"/>
                <w:bCs/>
                <w:sz w:val="24"/>
                <w:szCs w:val="24"/>
              </w:rPr>
            </w:pPr>
            <w:r>
              <w:rPr>
                <w:rFonts w:hint="eastAsia" w:eastAsia="仿宋_GB2312"/>
                <w:bCs/>
                <w:sz w:val="24"/>
                <w:szCs w:val="24"/>
              </w:rPr>
              <w:t>代表性论文专著目录：</w:t>
            </w:r>
          </w:p>
          <w:p w14:paraId="2CF21184">
            <w:pPr>
              <w:spacing w:line="440" w:lineRule="exact"/>
              <w:rPr>
                <w:rFonts w:eastAsia="仿宋_GB2312"/>
                <w:bCs/>
                <w:sz w:val="24"/>
                <w:szCs w:val="24"/>
              </w:rPr>
            </w:pPr>
            <w:r>
              <w:rPr>
                <w:rFonts w:hint="eastAsia" w:eastAsia="仿宋_GB2312"/>
                <w:bCs/>
                <w:sz w:val="24"/>
                <w:szCs w:val="24"/>
              </w:rPr>
              <w:t>4、</w:t>
            </w:r>
            <w:r>
              <w:rPr>
                <w:rFonts w:eastAsia="仿宋_GB2312"/>
                <w:bCs/>
                <w:sz w:val="24"/>
                <w:szCs w:val="24"/>
              </w:rPr>
              <w:t xml:space="preserve">Zhang J, Wu Y, Chen S, Luo Q, Xi H, Li J, Qin X, Peng Y, Ma N, Yang B, Qiu X, Lu W, Chen Y, Jiang Y, Chen P, Liu Y, Zhang C, Zhang Z, Xiong Y, Shen J, Liang H, Ren Y, Ying C, Dong M, Li X, Xu C, Wang H, Zhang D, Xu C, Huang H. Prospective prenatal cell-free DNA screening for genetic conditions of heterogenous etiologies. Nat Med. 2024 Feb;30(2):470-479. </w:t>
            </w:r>
          </w:p>
          <w:p w14:paraId="7D57359D">
            <w:pPr>
              <w:spacing w:line="440" w:lineRule="exact"/>
              <w:rPr>
                <w:rFonts w:eastAsia="仿宋_GB2312"/>
                <w:bCs/>
                <w:sz w:val="24"/>
                <w:szCs w:val="24"/>
              </w:rPr>
            </w:pPr>
            <w:r>
              <w:rPr>
                <w:rFonts w:hint="eastAsia" w:eastAsia="仿宋_GB2312"/>
                <w:bCs/>
                <w:sz w:val="24"/>
                <w:szCs w:val="24"/>
              </w:rPr>
              <w:t>5、</w:t>
            </w:r>
            <w:r>
              <w:rPr>
                <w:rFonts w:eastAsia="仿宋_GB2312"/>
                <w:bCs/>
                <w:sz w:val="24"/>
                <w:szCs w:val="24"/>
              </w:rPr>
              <w:t>Zhao B, Dong T, Chen Y, Yang M, Luo Q. Laparoscopic abdominal cerclage during pregnancy: a simplified approach. Am J Obstet Gynecol. 2022 Aug;227(2):333-337.</w:t>
            </w:r>
          </w:p>
          <w:p w14:paraId="7921B1B5">
            <w:pPr>
              <w:spacing w:line="440" w:lineRule="exact"/>
              <w:rPr>
                <w:rFonts w:eastAsia="仿宋_GB2312"/>
                <w:bCs/>
                <w:sz w:val="24"/>
                <w:szCs w:val="24"/>
              </w:rPr>
            </w:pPr>
            <w:r>
              <w:rPr>
                <w:rFonts w:hint="eastAsia" w:eastAsia="仿宋_GB2312"/>
                <w:bCs/>
                <w:sz w:val="24"/>
                <w:szCs w:val="24"/>
              </w:rPr>
              <w:t>6、</w:t>
            </w:r>
            <w:r>
              <w:rPr>
                <w:rFonts w:eastAsia="仿宋_GB2312"/>
                <w:bCs/>
                <w:sz w:val="24"/>
                <w:szCs w:val="24"/>
              </w:rPr>
              <w:t xml:space="preserve">Zheng W, Jiang Y, Jiang Z, Li J, Bian W, Hou H, Yan G, Shen W, Zou Y, Luo Q. Association between deep learning radiomics based on placental MRI and preeclampsia with fetal growth restriction: A multicenter study. Eur J Radiol. 2025 Mar;184:111985. </w:t>
            </w:r>
          </w:p>
          <w:p w14:paraId="5E2E8DF1">
            <w:pPr>
              <w:spacing w:line="440" w:lineRule="exact"/>
              <w:rPr>
                <w:rFonts w:eastAsia="仿宋_GB2312"/>
                <w:bCs/>
                <w:sz w:val="24"/>
                <w:szCs w:val="24"/>
              </w:rPr>
            </w:pPr>
            <w:r>
              <w:rPr>
                <w:rFonts w:hint="eastAsia" w:eastAsia="仿宋_GB2312"/>
                <w:bCs/>
                <w:sz w:val="24"/>
                <w:szCs w:val="24"/>
              </w:rPr>
              <w:t>7、Li D, Xu W#, Qiu Y, Pan F, Lou H, Li J, Jin Y, Wu T, Pan L, An J, Xu J, Cheng W, Tao L, Lei Y, Huang C, Yin F, Shu Q*. Maternal air pollution exposure and neonatal congenital heart disease: A multi-city cross-sectional study in eastern China. Internati</w:t>
            </w:r>
            <w:r>
              <w:rPr>
                <w:rFonts w:eastAsia="仿宋_GB2312"/>
                <w:bCs/>
                <w:sz w:val="24"/>
                <w:szCs w:val="24"/>
              </w:rPr>
              <w:t>onal Journal of Hygiene and Environmental Health. 2022 Mar;240:113898.</w:t>
            </w:r>
          </w:p>
          <w:p w14:paraId="245CE84D">
            <w:pPr>
              <w:spacing w:line="440" w:lineRule="exact"/>
              <w:rPr>
                <w:rFonts w:eastAsia="仿宋_GB2312"/>
                <w:bCs/>
                <w:sz w:val="24"/>
                <w:szCs w:val="24"/>
              </w:rPr>
            </w:pPr>
            <w:r>
              <w:rPr>
                <w:rFonts w:hint="eastAsia" w:eastAsia="仿宋_GB2312"/>
                <w:bCs/>
                <w:sz w:val="24"/>
                <w:szCs w:val="24"/>
              </w:rPr>
              <w:t>8、</w:t>
            </w:r>
            <w:r>
              <w:rPr>
                <w:rFonts w:eastAsia="仿宋_GB2312"/>
                <w:bCs/>
                <w:sz w:val="24"/>
                <w:szCs w:val="24"/>
              </w:rPr>
              <w:t xml:space="preserve">Sun L, Macgowan CK, Sled JG, Yoo SJ, Manlhiot C, Porayette P, Grosse-Wortmann L, Jaeggi E, McCrindle BW, Kingdom J, Hickey E, Miller S, Seed M. Reduced fetal cerebral oxygen consumption is associated with smaller brain size in fetuses with congenital heart disease. Circulation. 2015 Apr 14;131(15):1313-23. </w:t>
            </w:r>
          </w:p>
          <w:p w14:paraId="78C9CE88">
            <w:pPr>
              <w:spacing w:line="440" w:lineRule="exact"/>
              <w:rPr>
                <w:rFonts w:eastAsia="仿宋_GB2312"/>
                <w:bCs/>
                <w:sz w:val="24"/>
                <w:szCs w:val="24"/>
              </w:rPr>
            </w:pPr>
            <w:r>
              <w:rPr>
                <w:rFonts w:hint="eastAsia" w:eastAsia="仿宋_GB2312"/>
                <w:bCs/>
                <w:sz w:val="24"/>
                <w:szCs w:val="24"/>
              </w:rPr>
              <w:t>9、</w:t>
            </w:r>
            <w:r>
              <w:rPr>
                <w:rFonts w:eastAsia="仿宋_GB2312"/>
                <w:bCs/>
                <w:sz w:val="24"/>
                <w:szCs w:val="24"/>
              </w:rPr>
              <w:t xml:space="preserve">Wu Y, Su K, Zhang Y, Liang L, Wang F, Chen S, Gao L, Zheng Q, Li C, Su Y, Mao Y, Zhu S, Chai C, Lan Q, Zhai M, Jin X, Zhang J, Xu X, Zhang Y, Gao Y, Huang H. A spatiotemporal transcriptomic atlas of mouse placentation. Cell Discov. 2024 Oct 22;10(1):110. </w:t>
            </w:r>
          </w:p>
          <w:p w14:paraId="0A70271B">
            <w:pPr>
              <w:spacing w:line="440" w:lineRule="exact"/>
              <w:rPr>
                <w:rFonts w:eastAsia="仿宋_GB2312"/>
                <w:bCs/>
                <w:sz w:val="24"/>
                <w:szCs w:val="24"/>
              </w:rPr>
            </w:pPr>
            <w:r>
              <w:rPr>
                <w:rFonts w:hint="eastAsia" w:eastAsia="仿宋_GB2312"/>
                <w:bCs/>
                <w:sz w:val="24"/>
                <w:szCs w:val="24"/>
              </w:rPr>
              <w:t>10、</w:t>
            </w:r>
            <w:r>
              <w:rPr>
                <w:rFonts w:eastAsia="仿宋_GB2312"/>
                <w:bCs/>
                <w:sz w:val="24"/>
                <w:szCs w:val="24"/>
              </w:rPr>
              <w:t>Yan K, Sun Y, Yang Y, Liu B, Dong M. Case Report: Identification Pathogenic Abnormal Splicing of BBS1 Causing Bardet-Biedl Syndrome Type I (BBS1) due to Missense Mutation. Front Genet. 2022 May 27;13:849562.</w:t>
            </w:r>
          </w:p>
        </w:tc>
      </w:tr>
      <w:tr w14:paraId="180C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156" w:type="dxa"/>
            <w:tcBorders>
              <w:right w:val="single" w:color="auto" w:sz="4" w:space="0"/>
            </w:tcBorders>
            <w:vAlign w:val="center"/>
          </w:tcPr>
          <w:p w14:paraId="060A310E">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1E89EBB3">
            <w:pPr>
              <w:spacing w:line="440" w:lineRule="exact"/>
              <w:rPr>
                <w:rFonts w:eastAsia="仿宋_GB2312"/>
                <w:bCs/>
                <w:sz w:val="24"/>
                <w:szCs w:val="24"/>
              </w:rPr>
            </w:pPr>
            <w:r>
              <w:rPr>
                <w:rFonts w:hint="eastAsia" w:eastAsia="仿宋_GB2312"/>
                <w:bCs/>
                <w:sz w:val="24"/>
                <w:szCs w:val="24"/>
              </w:rPr>
              <w:t>罗琼，</w:t>
            </w:r>
            <w:r>
              <w:rPr>
                <w:rFonts w:eastAsia="仿宋_GB2312"/>
                <w:bCs/>
                <w:sz w:val="24"/>
                <w:szCs w:val="24"/>
              </w:rPr>
              <w:t>排名</w:t>
            </w:r>
            <w:r>
              <w:rPr>
                <w:rFonts w:hint="eastAsia" w:eastAsia="仿宋_GB2312"/>
                <w:bCs/>
                <w:sz w:val="24"/>
                <w:szCs w:val="24"/>
              </w:rPr>
              <w:t>1，教授、主任医师，浙江大学医学院附属妇产科医院</w:t>
            </w:r>
          </w:p>
          <w:p w14:paraId="0481E3C5">
            <w:pPr>
              <w:spacing w:line="440" w:lineRule="exact"/>
              <w:rPr>
                <w:rFonts w:eastAsia="仿宋_GB2312"/>
                <w:bCs/>
                <w:sz w:val="24"/>
                <w:szCs w:val="24"/>
              </w:rPr>
            </w:pPr>
            <w:r>
              <w:rPr>
                <w:rFonts w:hint="eastAsia" w:eastAsia="仿宋_GB2312"/>
                <w:bCs/>
                <w:sz w:val="24"/>
                <w:szCs w:val="24"/>
              </w:rPr>
              <w:t>徐玮泽，排名2，主任医师，浙江大学医学院附属儿童医院</w:t>
            </w:r>
          </w:p>
          <w:p w14:paraId="6262B645">
            <w:pPr>
              <w:spacing w:line="440" w:lineRule="exact"/>
              <w:rPr>
                <w:rFonts w:eastAsia="仿宋_GB2312"/>
                <w:bCs/>
                <w:sz w:val="24"/>
                <w:szCs w:val="24"/>
              </w:rPr>
            </w:pPr>
            <w:r>
              <w:rPr>
                <w:rFonts w:hint="eastAsia" w:eastAsia="仿宋_GB2312"/>
                <w:bCs/>
                <w:sz w:val="24"/>
                <w:szCs w:val="24"/>
              </w:rPr>
              <w:t>严恺，</w:t>
            </w:r>
            <w:r>
              <w:rPr>
                <w:rFonts w:eastAsia="仿宋_GB2312"/>
                <w:bCs/>
                <w:sz w:val="24"/>
                <w:szCs w:val="24"/>
              </w:rPr>
              <w:t>排名</w:t>
            </w:r>
            <w:r>
              <w:rPr>
                <w:rFonts w:hint="eastAsia" w:eastAsia="仿宋_GB2312"/>
                <w:bCs/>
                <w:sz w:val="24"/>
                <w:szCs w:val="24"/>
              </w:rPr>
              <w:t>3，副主任技师，浙江大学医学院附属妇产科医院</w:t>
            </w:r>
          </w:p>
          <w:p w14:paraId="460FD427">
            <w:pPr>
              <w:spacing w:line="440" w:lineRule="exact"/>
              <w:rPr>
                <w:rFonts w:eastAsia="仿宋_GB2312"/>
                <w:bCs/>
                <w:sz w:val="24"/>
                <w:szCs w:val="24"/>
              </w:rPr>
            </w:pPr>
            <w:r>
              <w:rPr>
                <w:rFonts w:hint="eastAsia" w:eastAsia="仿宋_GB2312"/>
                <w:bCs/>
                <w:sz w:val="24"/>
                <w:szCs w:val="24"/>
              </w:rPr>
              <w:t>郑伟增，</w:t>
            </w:r>
            <w:r>
              <w:rPr>
                <w:rFonts w:eastAsia="仿宋_GB2312"/>
                <w:bCs/>
                <w:sz w:val="24"/>
                <w:szCs w:val="24"/>
              </w:rPr>
              <w:t>排名</w:t>
            </w:r>
            <w:r>
              <w:rPr>
                <w:rFonts w:hint="eastAsia" w:eastAsia="仿宋_GB2312"/>
                <w:bCs/>
                <w:sz w:val="24"/>
                <w:szCs w:val="24"/>
              </w:rPr>
              <w:t>4，副主任技师，浙江大学医学院附属妇产科医院</w:t>
            </w:r>
          </w:p>
          <w:p w14:paraId="2352C545">
            <w:pPr>
              <w:spacing w:line="440" w:lineRule="exact"/>
              <w:rPr>
                <w:rFonts w:eastAsia="仿宋_GB2312"/>
                <w:bCs/>
                <w:sz w:val="24"/>
                <w:szCs w:val="24"/>
              </w:rPr>
            </w:pPr>
            <w:r>
              <w:rPr>
                <w:rFonts w:hint="eastAsia" w:eastAsia="仿宋_GB2312"/>
                <w:bCs/>
                <w:sz w:val="24"/>
                <w:szCs w:val="24"/>
              </w:rPr>
              <w:t>张静澜，排名5，教授，浙江大学医学院附属妇产科医院</w:t>
            </w:r>
          </w:p>
          <w:p w14:paraId="468C2038">
            <w:pPr>
              <w:spacing w:line="440" w:lineRule="exact"/>
              <w:rPr>
                <w:rFonts w:eastAsia="仿宋_GB2312"/>
                <w:bCs/>
                <w:sz w:val="24"/>
                <w:szCs w:val="24"/>
              </w:rPr>
            </w:pPr>
            <w:r>
              <w:rPr>
                <w:rFonts w:hint="eastAsia" w:eastAsia="仿宋_GB2312"/>
                <w:bCs/>
                <w:sz w:val="24"/>
                <w:szCs w:val="24"/>
              </w:rPr>
              <w:t>孙立群，排名6，副主任医师，浙江大学医学院附属妇产科医院</w:t>
            </w:r>
          </w:p>
          <w:p w14:paraId="61E0F32A">
            <w:pPr>
              <w:spacing w:line="440" w:lineRule="exact"/>
              <w:rPr>
                <w:rFonts w:eastAsia="仿宋_GB2312"/>
                <w:bCs/>
                <w:sz w:val="24"/>
                <w:szCs w:val="24"/>
              </w:rPr>
            </w:pPr>
            <w:r>
              <w:rPr>
                <w:rFonts w:hint="eastAsia" w:eastAsia="仿宋_GB2312"/>
                <w:bCs/>
                <w:sz w:val="24"/>
                <w:szCs w:val="24"/>
              </w:rPr>
              <w:t>杨蒙蒙，排名7，副主任医师，浙江大学医学院附属妇产科医院</w:t>
            </w:r>
          </w:p>
          <w:p w14:paraId="46B2A836">
            <w:pPr>
              <w:spacing w:line="440" w:lineRule="exact"/>
              <w:rPr>
                <w:rFonts w:eastAsia="仿宋_GB2312"/>
                <w:bCs/>
                <w:sz w:val="24"/>
                <w:szCs w:val="24"/>
              </w:rPr>
            </w:pPr>
            <w:r>
              <w:rPr>
                <w:rFonts w:hint="eastAsia" w:eastAsia="仿宋_GB2312"/>
                <w:bCs/>
                <w:sz w:val="24"/>
                <w:szCs w:val="24"/>
              </w:rPr>
              <w:t>张民，排名8，无，浙江博圣生物技术股份有限公司</w:t>
            </w:r>
          </w:p>
          <w:p w14:paraId="5E616E3D">
            <w:pPr>
              <w:spacing w:line="440" w:lineRule="exact"/>
              <w:rPr>
                <w:rFonts w:eastAsia="仿宋_GB2312"/>
                <w:bCs/>
                <w:sz w:val="24"/>
                <w:szCs w:val="24"/>
              </w:rPr>
            </w:pPr>
            <w:r>
              <w:rPr>
                <w:rFonts w:hint="eastAsia" w:eastAsia="仿宋_GB2312"/>
                <w:bCs/>
                <w:sz w:val="24"/>
                <w:szCs w:val="24"/>
              </w:rPr>
              <w:t>陈原，排名9，副主任医师，浙江大学医学院附属妇产科医院</w:t>
            </w:r>
          </w:p>
          <w:p w14:paraId="74BA0451">
            <w:pPr>
              <w:spacing w:line="440" w:lineRule="exact"/>
              <w:rPr>
                <w:rFonts w:eastAsia="仿宋_GB2312"/>
                <w:bCs/>
                <w:sz w:val="24"/>
                <w:szCs w:val="24"/>
              </w:rPr>
            </w:pPr>
            <w:r>
              <w:rPr>
                <w:rFonts w:hint="eastAsia" w:eastAsia="仿宋_GB2312"/>
                <w:bCs/>
                <w:sz w:val="24"/>
                <w:szCs w:val="24"/>
              </w:rPr>
              <w:t>蒋颖，排名10，副主任医师，浙江大学医学院附属妇产科医院</w:t>
            </w:r>
          </w:p>
          <w:p w14:paraId="07B724D2">
            <w:pPr>
              <w:spacing w:line="440" w:lineRule="exact"/>
              <w:rPr>
                <w:rFonts w:eastAsia="仿宋_GB2312"/>
                <w:bCs/>
                <w:sz w:val="24"/>
                <w:szCs w:val="24"/>
              </w:rPr>
            </w:pPr>
            <w:r>
              <w:rPr>
                <w:rFonts w:hint="eastAsia" w:eastAsia="仿宋_GB2312"/>
                <w:bCs/>
                <w:sz w:val="24"/>
                <w:szCs w:val="24"/>
              </w:rPr>
              <w:t>李昳，排名11，特聘副研究员，浙江大学医学院附属儿童医院</w:t>
            </w:r>
          </w:p>
        </w:tc>
      </w:tr>
      <w:tr w14:paraId="4DBD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269E4EE8">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2245DE9E">
            <w:pPr>
              <w:spacing w:line="440" w:lineRule="exact"/>
              <w:rPr>
                <w:rFonts w:eastAsia="仿宋_GB2312"/>
                <w:bCs/>
                <w:sz w:val="24"/>
                <w:szCs w:val="24"/>
              </w:rPr>
            </w:pPr>
            <w:r>
              <w:rPr>
                <w:rFonts w:eastAsia="仿宋_GB2312"/>
                <w:bCs/>
                <w:sz w:val="24"/>
                <w:szCs w:val="24"/>
              </w:rPr>
              <w:t>1.单位名称：</w:t>
            </w:r>
            <w:r>
              <w:rPr>
                <w:rFonts w:hint="eastAsia" w:eastAsia="仿宋_GB2312"/>
                <w:bCs/>
                <w:sz w:val="24"/>
                <w:szCs w:val="24"/>
              </w:rPr>
              <w:t>浙江大学医学院附属妇产科医院</w:t>
            </w:r>
          </w:p>
          <w:p w14:paraId="65853443">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浙江大学医学院附属儿童医院</w:t>
            </w:r>
          </w:p>
          <w:p w14:paraId="1F424E2A">
            <w:pPr>
              <w:spacing w:line="440" w:lineRule="exact"/>
              <w:jc w:val="left"/>
              <w:rPr>
                <w:rFonts w:eastAsia="仿宋"/>
                <w:bCs/>
                <w:sz w:val="24"/>
                <w:szCs w:val="24"/>
              </w:rPr>
            </w:pPr>
            <w:r>
              <w:rPr>
                <w:rFonts w:hint="eastAsia" w:eastAsia="仿宋_GB2312"/>
                <w:bCs/>
                <w:sz w:val="24"/>
                <w:szCs w:val="24"/>
              </w:rPr>
              <w:t>3.单位名称：浙江博圣生物技术股份有限公司</w:t>
            </w:r>
          </w:p>
        </w:tc>
      </w:tr>
      <w:tr w14:paraId="4C6B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755F96D6">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14:paraId="6F2A7F88">
            <w:pPr>
              <w:contextualSpacing/>
              <w:jc w:val="center"/>
              <w:rPr>
                <w:rStyle w:val="10"/>
                <w:b w:val="0"/>
                <w:color w:val="auto"/>
              </w:rPr>
            </w:pPr>
            <w:r>
              <w:rPr>
                <w:rFonts w:hint="eastAsia" w:eastAsia="仿宋_GB2312"/>
                <w:bCs/>
                <w:sz w:val="24"/>
                <w:szCs w:val="24"/>
              </w:rPr>
              <w:t>浙江大学</w:t>
            </w:r>
          </w:p>
        </w:tc>
      </w:tr>
      <w:tr w14:paraId="6BEC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2156" w:type="dxa"/>
            <w:vAlign w:val="center"/>
          </w:tcPr>
          <w:p w14:paraId="53D6A5E7">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14:paraId="5F2ED617">
            <w:pPr>
              <w:spacing w:line="440" w:lineRule="exact"/>
              <w:jc w:val="left"/>
              <w:rPr>
                <w:rFonts w:eastAsia="仿宋_GB2312"/>
                <w:sz w:val="24"/>
                <w:szCs w:val="24"/>
              </w:rPr>
            </w:pPr>
            <w:r>
              <w:rPr>
                <w:rFonts w:hint="eastAsia" w:eastAsia="仿宋_GB2312"/>
                <w:sz w:val="24"/>
                <w:szCs w:val="24"/>
              </w:rPr>
              <w:t>本项目围绕围产医学疑难病及常见多发病，构建了“精准筛查-微创治疗-应用推广”创新体系，推动我国围产救治模式从被动应对向主动防控的战略转型。主要成果如下：</w:t>
            </w:r>
          </w:p>
          <w:p w14:paraId="00ECAC71">
            <w:pPr>
              <w:spacing w:line="440" w:lineRule="exact"/>
              <w:jc w:val="left"/>
              <w:rPr>
                <w:rFonts w:eastAsia="仿宋_GB2312"/>
                <w:sz w:val="24"/>
                <w:szCs w:val="24"/>
              </w:rPr>
            </w:pPr>
            <w:r>
              <w:rPr>
                <w:rFonts w:hint="eastAsia" w:eastAsia="仿宋_GB2312"/>
                <w:sz w:val="24"/>
                <w:szCs w:val="24"/>
              </w:rPr>
              <w:t>1．机制研究与精准筛查：聚焦母胎界面炎症反应、表观遗传调控及免疫分子机制，揭示了早产、妊娠期糖尿病及子痫前期的关键发病机制。首创多模态生物传感平台，实现子宫平滑肌电生理与钙动态实时监测；通过胎盘单细胞测序，发现JUNB通过调控MIIP/PI3K/AKT通路抑制巨噬细胞M2极化。构建系列高危预测模型，包括子痫前期血清学模型（AUC 0.912）、HELLP预警模型（AUC 0.838-0.975）及胎盘MRI深度学习模型（区分FGR亚型，AUC 0.918）。主导研发NIPT2.0技术，实现胎儿染色体非整倍体、微缺失综合征和单基因遗传病的无创产前检测，敏感性达98.5%。</w:t>
            </w:r>
          </w:p>
          <w:p w14:paraId="5CB593CF">
            <w:pPr>
              <w:spacing w:line="440" w:lineRule="exact"/>
              <w:jc w:val="left"/>
              <w:rPr>
                <w:rFonts w:eastAsia="仿宋_GB2312"/>
                <w:sz w:val="24"/>
                <w:szCs w:val="24"/>
              </w:rPr>
            </w:pPr>
            <w:r>
              <w:rPr>
                <w:rFonts w:hint="eastAsia" w:eastAsia="仿宋_GB2312"/>
                <w:sz w:val="24"/>
                <w:szCs w:val="24"/>
              </w:rPr>
              <w:t>2．微创治疗：系统构建宫颈机能不全微创手术体系，首创中孕早期腹腔镜宫颈环扎术，获国际指南引用；创新“宫颈球囊回纳+双道缝合术”，显著降低医源性胎膜破裂风险，手术成功率达100%。针对结构异常出生缺陷患儿，牵头组建浙江省首个EXIT团队，优化胎儿-胎盘循环维持及术中监护技术，显著改善患儿预后，获官方媒体报道。</w:t>
            </w:r>
          </w:p>
          <w:p w14:paraId="5C61A102">
            <w:pPr>
              <w:spacing w:line="440" w:lineRule="exact"/>
              <w:jc w:val="left"/>
              <w:rPr>
                <w:rFonts w:eastAsia="仿宋_GB2312"/>
                <w:sz w:val="24"/>
                <w:szCs w:val="24"/>
              </w:rPr>
            </w:pPr>
            <w:r>
              <w:rPr>
                <w:rFonts w:hint="eastAsia" w:eastAsia="仿宋_GB2312"/>
                <w:sz w:val="24"/>
                <w:szCs w:val="24"/>
              </w:rPr>
              <w:t>3．应用推广：构建全国防控网络，推动NIPT2.0技术在全国近20家头部医院落地，筛查效率提升60.7%；远程胎儿监护系统覆盖边疆基层医院，新生儿窒息率降低28%。依托长三角早产防治联盟及“云上妇幼”平台，培训基层医生超2000人，显著提升基层服务能力。</w:t>
            </w:r>
          </w:p>
          <w:p w14:paraId="6CA75ECA">
            <w:pPr>
              <w:spacing w:line="440" w:lineRule="exact"/>
              <w:jc w:val="left"/>
              <w:rPr>
                <w:rStyle w:val="10"/>
                <w:b w:val="0"/>
                <w:color w:val="auto"/>
              </w:rPr>
            </w:pPr>
            <w:r>
              <w:rPr>
                <w:rFonts w:hint="eastAsia" w:eastAsia="仿宋_GB2312"/>
                <w:sz w:val="24"/>
                <w:szCs w:val="24"/>
              </w:rPr>
              <w:t>提名该成果为省科学技术进步奖一等奖。</w:t>
            </w:r>
          </w:p>
        </w:tc>
      </w:tr>
    </w:tbl>
    <w:p w14:paraId="33FA4C2B">
      <w:pPr>
        <w:adjustRightInd w:val="0"/>
        <w:snapToGrid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133845"/>
    <w:rsid w:val="001562FD"/>
    <w:rsid w:val="00176C79"/>
    <w:rsid w:val="00190211"/>
    <w:rsid w:val="0021574B"/>
    <w:rsid w:val="00245034"/>
    <w:rsid w:val="00357E4E"/>
    <w:rsid w:val="00370244"/>
    <w:rsid w:val="003F7A86"/>
    <w:rsid w:val="004066D7"/>
    <w:rsid w:val="00407A69"/>
    <w:rsid w:val="004D3794"/>
    <w:rsid w:val="004D5C7D"/>
    <w:rsid w:val="004F39A5"/>
    <w:rsid w:val="00520FA5"/>
    <w:rsid w:val="00550C76"/>
    <w:rsid w:val="005956FF"/>
    <w:rsid w:val="005D0F22"/>
    <w:rsid w:val="00647299"/>
    <w:rsid w:val="00653BB3"/>
    <w:rsid w:val="007519E0"/>
    <w:rsid w:val="00795455"/>
    <w:rsid w:val="007A378A"/>
    <w:rsid w:val="007A3886"/>
    <w:rsid w:val="00821DF8"/>
    <w:rsid w:val="00823F5C"/>
    <w:rsid w:val="008B76F6"/>
    <w:rsid w:val="009018BB"/>
    <w:rsid w:val="009146C1"/>
    <w:rsid w:val="00984BC2"/>
    <w:rsid w:val="00991FE0"/>
    <w:rsid w:val="00A20630"/>
    <w:rsid w:val="00A2180E"/>
    <w:rsid w:val="00A2366E"/>
    <w:rsid w:val="00A34717"/>
    <w:rsid w:val="00A729B4"/>
    <w:rsid w:val="00AC4577"/>
    <w:rsid w:val="00B272D7"/>
    <w:rsid w:val="00B37197"/>
    <w:rsid w:val="00B6150D"/>
    <w:rsid w:val="00B86CAF"/>
    <w:rsid w:val="00B92A31"/>
    <w:rsid w:val="00BA610E"/>
    <w:rsid w:val="00BC678C"/>
    <w:rsid w:val="00C03F73"/>
    <w:rsid w:val="00C25E8E"/>
    <w:rsid w:val="00C730E8"/>
    <w:rsid w:val="00CC64D3"/>
    <w:rsid w:val="00D01BC2"/>
    <w:rsid w:val="00D66DAE"/>
    <w:rsid w:val="00DB2C80"/>
    <w:rsid w:val="00DB3E45"/>
    <w:rsid w:val="00DF1893"/>
    <w:rsid w:val="00E32679"/>
    <w:rsid w:val="00EE0FAA"/>
    <w:rsid w:val="00F342EF"/>
    <w:rsid w:val="00F647CD"/>
    <w:rsid w:val="3AE7233B"/>
    <w:rsid w:val="59B6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1630</Words>
  <Characters>2962</Characters>
  <Lines>79</Lines>
  <Paragraphs>50</Paragraphs>
  <TotalTime>60</TotalTime>
  <ScaleCrop>false</ScaleCrop>
  <LinksUpToDate>false</LinksUpToDate>
  <CharactersWithSpaces>3297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葛格</cp:lastModifiedBy>
  <dcterms:modified xsi:type="dcterms:W3CDTF">2025-09-16T02:08:39Z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eyJoZGlkIjoiZGMxYjIzMTZjMTRhZTY2ZTM3OTYwZGQwYzE3YmIwNGUiLCJ1c2VySWQiOiIyNTk1OTk4MzUifQ==</vt:lpwstr>
  </property>
  <property fmtid="{D5CDD505-2E9C-101B-9397-08002B2CF9AE}" pid="3" name="KSOProductBuildVer">
    <vt:lpwstr>2052-12.1.0.19770</vt:lpwstr>
  </property>
  <property fmtid="{D5CDD505-2E9C-101B-9397-08002B2CF9AE}" pid="4" name="ICV">
    <vt:lpwstr>116F8D13460C46409BEDDBF19E7525B1_13</vt:lpwstr>
  </property>
</Properties>
</file>