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B21F4BD">
      <w:pPr>
        <w:jc w:val="center"/>
        <w:rPr>
          <w:rStyle w:val="36"/>
          <w:rFonts w:eastAsia="方正小标宋简体"/>
          <w:bCs w:val="0"/>
          <w:color w:val="auto"/>
          <w:sz w:val="36"/>
          <w:szCs w:val="36"/>
        </w:rPr>
      </w:pPr>
      <w:bookmarkStart w:id="2" w:name="_GoBack"/>
      <w:bookmarkEnd w:id="2"/>
      <w:r>
        <w:rPr>
          <w:rStyle w:val="36"/>
          <w:rFonts w:eastAsia="方正小标宋简体"/>
          <w:b w:val="0"/>
          <w:color w:val="auto"/>
          <w:sz w:val="36"/>
          <w:szCs w:val="36"/>
        </w:rPr>
        <w:t>浙江省科学技术奖公示信息表</w:t>
      </w:r>
      <w:r>
        <w:rPr>
          <w:rStyle w:val="36"/>
          <w:rFonts w:eastAsia="仿宋_GB2312"/>
          <w:b w:val="0"/>
          <w:color w:val="auto"/>
          <w:sz w:val="32"/>
          <w:szCs w:val="32"/>
        </w:rPr>
        <w:t>（单位提名）</w:t>
      </w:r>
    </w:p>
    <w:p w14:paraId="20B6D97E">
      <w:pPr>
        <w:spacing w:line="440" w:lineRule="exact"/>
        <w:rPr>
          <w:rFonts w:eastAsia="仿宋_GB2312"/>
          <w:sz w:val="28"/>
          <w:szCs w:val="24"/>
        </w:rPr>
      </w:pPr>
      <w:r>
        <w:rPr>
          <w:rFonts w:eastAsia="仿宋_GB2312"/>
          <w:sz w:val="28"/>
          <w:szCs w:val="24"/>
        </w:rPr>
        <w:t>提名奖项：科学技术进步奖</w:t>
      </w:r>
    </w:p>
    <w:tbl>
      <w:tblPr>
        <w:tblStyle w:val="16"/>
        <w:tblW w:w="8506" w:type="dxa"/>
        <w:tblInd w:w="-3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9"/>
        <w:gridCol w:w="6237"/>
      </w:tblGrid>
      <w:tr w14:paraId="31E8E6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2269" w:type="dxa"/>
            <w:vAlign w:val="center"/>
          </w:tcPr>
          <w:p w14:paraId="21C280A8">
            <w:pPr>
              <w:jc w:val="center"/>
              <w:rPr>
                <w:rStyle w:val="36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36"/>
                <w:rFonts w:eastAsia="仿宋_GB2312"/>
                <w:b w:val="0"/>
                <w:bCs w:val="0"/>
                <w:color w:val="auto"/>
                <w:sz w:val="28"/>
              </w:rPr>
              <w:t>成果名称</w:t>
            </w:r>
          </w:p>
        </w:tc>
        <w:tc>
          <w:tcPr>
            <w:tcW w:w="6237" w:type="dxa"/>
            <w:vAlign w:val="center"/>
          </w:tcPr>
          <w:p w14:paraId="3DCE6441">
            <w:pPr>
              <w:jc w:val="center"/>
              <w:rPr>
                <w:rStyle w:val="36"/>
                <w:rFonts w:hint="eastAsia" w:asciiTheme="minorEastAsia" w:hAnsiTheme="minorEastAsia" w:eastAsiaTheme="minorEastAsia"/>
                <w:b w:val="0"/>
                <w:color w:val="auto"/>
                <w:sz w:val="28"/>
              </w:rPr>
            </w:pPr>
            <w:r>
              <w:rPr>
                <w:rFonts w:asciiTheme="minorEastAsia" w:hAnsiTheme="minorEastAsia" w:eastAsiaTheme="minorEastAsia"/>
                <w:sz w:val="24"/>
              </w:rPr>
              <w:t>大肠癌早筛早诊体系的范式创新与推广应用</w:t>
            </w:r>
          </w:p>
        </w:tc>
      </w:tr>
      <w:tr w14:paraId="6B4F77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</w:trPr>
        <w:tc>
          <w:tcPr>
            <w:tcW w:w="2269" w:type="dxa"/>
            <w:vAlign w:val="center"/>
          </w:tcPr>
          <w:p w14:paraId="4EDCFB7A">
            <w:pPr>
              <w:jc w:val="center"/>
              <w:rPr>
                <w:rStyle w:val="36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36"/>
                <w:rFonts w:eastAsia="仿宋_GB2312"/>
                <w:b w:val="0"/>
                <w:bCs w:val="0"/>
                <w:color w:val="auto"/>
                <w:sz w:val="28"/>
              </w:rPr>
              <w:t>提名等级</w:t>
            </w:r>
          </w:p>
        </w:tc>
        <w:tc>
          <w:tcPr>
            <w:tcW w:w="6237" w:type="dxa"/>
            <w:vAlign w:val="center"/>
          </w:tcPr>
          <w:p w14:paraId="0EA85848">
            <w:pPr>
              <w:jc w:val="center"/>
              <w:rPr>
                <w:rFonts w:hint="eastAsia" w:asciiTheme="minorEastAsia" w:hAnsiTheme="minorEastAsia" w:eastAsia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一等奖</w:t>
            </w:r>
          </w:p>
        </w:tc>
      </w:tr>
      <w:tr w14:paraId="7F1BA8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1" w:hRule="atLeast"/>
        </w:trPr>
        <w:tc>
          <w:tcPr>
            <w:tcW w:w="2269" w:type="dxa"/>
            <w:vAlign w:val="center"/>
          </w:tcPr>
          <w:p w14:paraId="629FD6AD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提名书</w:t>
            </w:r>
          </w:p>
          <w:p w14:paraId="28FB9CAA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相关内容</w:t>
            </w:r>
          </w:p>
        </w:tc>
        <w:tc>
          <w:tcPr>
            <w:tcW w:w="6237" w:type="dxa"/>
            <w:vAlign w:val="center"/>
          </w:tcPr>
          <w:p w14:paraId="5F3493EC">
            <w:pPr>
              <w:spacing w:line="360" w:lineRule="auto"/>
              <w:rPr>
                <w:rFonts w:hint="eastAsia"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见附件1、2</w:t>
            </w:r>
          </w:p>
        </w:tc>
      </w:tr>
      <w:tr w14:paraId="10B0B7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8" w:hRule="atLeast"/>
        </w:trPr>
        <w:tc>
          <w:tcPr>
            <w:tcW w:w="2269" w:type="dxa"/>
            <w:tcBorders>
              <w:right w:val="single" w:color="auto" w:sz="4" w:space="0"/>
            </w:tcBorders>
            <w:vAlign w:val="center"/>
          </w:tcPr>
          <w:p w14:paraId="631AAE00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主要完成人</w:t>
            </w:r>
          </w:p>
        </w:tc>
        <w:tc>
          <w:tcPr>
            <w:tcW w:w="6237" w:type="dxa"/>
            <w:tcBorders>
              <w:left w:val="single" w:color="auto" w:sz="4" w:space="0"/>
            </w:tcBorders>
            <w:vAlign w:val="center"/>
          </w:tcPr>
          <w:p w14:paraId="11922F03">
            <w:pPr>
              <w:spacing w:line="440" w:lineRule="exact"/>
              <w:rPr>
                <w:rFonts w:hint="eastAsia" w:asciiTheme="minorEastAsia" w:hAnsiTheme="minorEastAsia" w:eastAsiaTheme="minorEastAsia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bCs/>
                <w:sz w:val="24"/>
                <w:szCs w:val="24"/>
              </w:rPr>
              <w:t>丁克峰</w:t>
            </w:r>
            <w:r>
              <w:rPr>
                <w:rFonts w:asciiTheme="minorEastAsia" w:hAnsiTheme="minorEastAsia" w:eastAsiaTheme="minorEastAsia"/>
                <w:bCs/>
                <w:sz w:val="24"/>
                <w:szCs w:val="24"/>
              </w:rPr>
              <w:t>，排名1，</w:t>
            </w:r>
            <w:r>
              <w:rPr>
                <w:rFonts w:hint="eastAsia" w:asciiTheme="minorEastAsia" w:hAnsiTheme="minorEastAsia" w:eastAsiaTheme="minorEastAsia"/>
                <w:bCs/>
                <w:sz w:val="24"/>
                <w:szCs w:val="24"/>
              </w:rPr>
              <w:t>教授、主任医师</w:t>
            </w:r>
            <w:r>
              <w:rPr>
                <w:rFonts w:asciiTheme="minorEastAsia" w:hAnsiTheme="minorEastAsia" w:eastAsiaTheme="minorEastAsia"/>
                <w:bCs/>
                <w:sz w:val="24"/>
                <w:szCs w:val="24"/>
              </w:rPr>
              <w:t>，</w:t>
            </w:r>
            <w:r>
              <w:rPr>
                <w:rFonts w:hint="eastAsia" w:asciiTheme="minorEastAsia" w:hAnsiTheme="minorEastAsia" w:eastAsiaTheme="minorEastAsia"/>
                <w:bCs/>
                <w:sz w:val="24"/>
                <w:szCs w:val="24"/>
              </w:rPr>
              <w:t>浙江大学医学院附属第二医院</w:t>
            </w:r>
            <w:r>
              <w:rPr>
                <w:rFonts w:asciiTheme="minorEastAsia" w:hAnsiTheme="minorEastAsia" w:eastAsiaTheme="minorEastAsia"/>
                <w:bCs/>
                <w:sz w:val="24"/>
                <w:szCs w:val="24"/>
              </w:rPr>
              <w:t>；</w:t>
            </w:r>
          </w:p>
          <w:p w14:paraId="302246FB">
            <w:pPr>
              <w:spacing w:line="440" w:lineRule="exact"/>
              <w:rPr>
                <w:rFonts w:hint="eastAsia" w:asciiTheme="minorEastAsia" w:hAnsiTheme="minorEastAsia" w:eastAsiaTheme="minorEastAsia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bCs/>
                <w:sz w:val="24"/>
                <w:szCs w:val="24"/>
              </w:rPr>
              <w:t>胡烨婷</w:t>
            </w:r>
            <w:r>
              <w:rPr>
                <w:rFonts w:asciiTheme="minorEastAsia" w:hAnsiTheme="minorEastAsia" w:eastAsiaTheme="minorEastAsia"/>
                <w:bCs/>
                <w:sz w:val="24"/>
                <w:szCs w:val="24"/>
              </w:rPr>
              <w:t>，排名2，</w:t>
            </w:r>
            <w:r>
              <w:rPr>
                <w:rFonts w:hint="eastAsia" w:asciiTheme="minorEastAsia" w:hAnsiTheme="minorEastAsia" w:eastAsiaTheme="minorEastAsia"/>
                <w:bCs/>
                <w:sz w:val="24"/>
                <w:szCs w:val="24"/>
              </w:rPr>
              <w:t>副主任医师</w:t>
            </w:r>
            <w:r>
              <w:rPr>
                <w:rFonts w:asciiTheme="minorEastAsia" w:hAnsiTheme="minorEastAsia" w:eastAsiaTheme="minorEastAsia"/>
                <w:bCs/>
                <w:sz w:val="24"/>
                <w:szCs w:val="24"/>
              </w:rPr>
              <w:t>，</w:t>
            </w:r>
            <w:r>
              <w:rPr>
                <w:rFonts w:hint="eastAsia" w:asciiTheme="minorEastAsia" w:hAnsiTheme="minorEastAsia" w:eastAsiaTheme="minorEastAsia"/>
                <w:bCs/>
                <w:sz w:val="24"/>
                <w:szCs w:val="24"/>
              </w:rPr>
              <w:t>浙江大学医学院附属第二医院</w:t>
            </w:r>
            <w:r>
              <w:rPr>
                <w:rFonts w:asciiTheme="minorEastAsia" w:hAnsiTheme="minorEastAsia" w:eastAsiaTheme="minorEastAsia"/>
                <w:bCs/>
                <w:sz w:val="24"/>
                <w:szCs w:val="24"/>
              </w:rPr>
              <w:t>；</w:t>
            </w:r>
          </w:p>
          <w:p w14:paraId="2E09CA33">
            <w:pPr>
              <w:spacing w:line="440" w:lineRule="exact"/>
              <w:rPr>
                <w:rFonts w:hint="eastAsia" w:asciiTheme="minorEastAsia" w:hAnsiTheme="minorEastAsia" w:eastAsiaTheme="minorEastAsia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bCs/>
                <w:sz w:val="24"/>
                <w:szCs w:val="24"/>
              </w:rPr>
              <w:t>肖乾</w:t>
            </w:r>
            <w:r>
              <w:rPr>
                <w:rFonts w:asciiTheme="minorEastAsia" w:hAnsiTheme="minorEastAsia" w:eastAsiaTheme="minorEastAsia"/>
                <w:bCs/>
                <w:sz w:val="24"/>
                <w:szCs w:val="24"/>
              </w:rPr>
              <w:t>，排名3，</w:t>
            </w:r>
            <w:r>
              <w:rPr>
                <w:rFonts w:hint="eastAsia" w:asciiTheme="minorEastAsia" w:hAnsiTheme="minorEastAsia" w:eastAsiaTheme="minorEastAsia"/>
                <w:bCs/>
                <w:sz w:val="24"/>
                <w:szCs w:val="24"/>
              </w:rPr>
              <w:t>副主任医师</w:t>
            </w:r>
            <w:r>
              <w:rPr>
                <w:rFonts w:asciiTheme="minorEastAsia" w:hAnsiTheme="minorEastAsia" w:eastAsiaTheme="minorEastAsia"/>
                <w:bCs/>
                <w:sz w:val="24"/>
                <w:szCs w:val="24"/>
              </w:rPr>
              <w:t>，</w:t>
            </w:r>
            <w:r>
              <w:rPr>
                <w:rFonts w:hint="eastAsia" w:asciiTheme="minorEastAsia" w:hAnsiTheme="minorEastAsia" w:eastAsiaTheme="minorEastAsia"/>
                <w:bCs/>
                <w:sz w:val="24"/>
                <w:szCs w:val="24"/>
              </w:rPr>
              <w:t>浙江大学医学院附属第二医院</w:t>
            </w:r>
            <w:r>
              <w:rPr>
                <w:rFonts w:asciiTheme="minorEastAsia" w:hAnsiTheme="minorEastAsia" w:eastAsiaTheme="minorEastAsia"/>
                <w:bCs/>
                <w:sz w:val="24"/>
                <w:szCs w:val="24"/>
              </w:rPr>
              <w:t>；</w:t>
            </w:r>
          </w:p>
          <w:p w14:paraId="5947545B">
            <w:pPr>
              <w:spacing w:line="440" w:lineRule="exact"/>
              <w:rPr>
                <w:rFonts w:hint="eastAsia" w:asciiTheme="minorEastAsia" w:hAnsiTheme="minorEastAsia" w:eastAsiaTheme="minorEastAsia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bCs/>
                <w:sz w:val="24"/>
                <w:szCs w:val="24"/>
              </w:rPr>
              <w:t>李军，排名4，主任医师，浙江大学医学院附属第二医院；</w:t>
            </w:r>
          </w:p>
          <w:p w14:paraId="2E0BB7AC">
            <w:pPr>
              <w:spacing w:line="440" w:lineRule="exact"/>
              <w:rPr>
                <w:rFonts w:hint="eastAsia" w:asciiTheme="minorEastAsia" w:hAnsiTheme="minorEastAsia" w:eastAsiaTheme="minorEastAsia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bCs/>
                <w:sz w:val="24"/>
                <w:szCs w:val="24"/>
              </w:rPr>
              <w:t>孔祥兴，排名5，主治医师，浙江大学医学院附属第二医院；</w:t>
            </w:r>
          </w:p>
          <w:p w14:paraId="23C75469">
            <w:pPr>
              <w:spacing w:line="440" w:lineRule="exact"/>
              <w:rPr>
                <w:rFonts w:hint="eastAsia" w:asciiTheme="minorEastAsia" w:hAnsiTheme="minorEastAsia" w:eastAsiaTheme="minorEastAsia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bCs/>
                <w:sz w:val="24"/>
                <w:szCs w:val="24"/>
              </w:rPr>
              <w:t>李雪，排名6，研究员，浙江大学；</w:t>
            </w:r>
          </w:p>
          <w:p w14:paraId="40E11CFA">
            <w:pPr>
              <w:spacing w:line="440" w:lineRule="exact"/>
              <w:rPr>
                <w:rFonts w:hint="eastAsia" w:asciiTheme="minorEastAsia" w:hAnsiTheme="minorEastAsia" w:eastAsiaTheme="minorEastAsia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bCs/>
                <w:sz w:val="24"/>
                <w:szCs w:val="24"/>
              </w:rPr>
              <w:t>周欣毅，排名7，副主任医师，浙江大学医学院附属第二医院；</w:t>
            </w:r>
          </w:p>
          <w:p w14:paraId="518BBF7F">
            <w:pPr>
              <w:spacing w:line="440" w:lineRule="exact"/>
              <w:rPr>
                <w:rFonts w:hint="eastAsia" w:asciiTheme="minorEastAsia" w:hAnsiTheme="minorEastAsia" w:eastAsiaTheme="minorEastAsia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bCs/>
                <w:sz w:val="24"/>
                <w:szCs w:val="24"/>
              </w:rPr>
              <w:t>郑树，排名8，教授、主任医师，浙江大学医学院附属第二医院；</w:t>
            </w:r>
          </w:p>
          <w:p w14:paraId="112DEDCF">
            <w:pPr>
              <w:spacing w:line="440" w:lineRule="exact"/>
              <w:rPr>
                <w:rFonts w:hint="eastAsia" w:asciiTheme="minorEastAsia" w:hAnsiTheme="minorEastAsia" w:eastAsiaTheme="minorEastAsia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bCs/>
                <w:sz w:val="24"/>
                <w:szCs w:val="24"/>
              </w:rPr>
              <w:t>黄彦钦，排名9，助理研究员，浙江大学医学院附属第二医院；</w:t>
            </w:r>
          </w:p>
          <w:p w14:paraId="39024A93">
            <w:pPr>
              <w:spacing w:line="440" w:lineRule="exact"/>
              <w:rPr>
                <w:rFonts w:hint="eastAsia" w:asciiTheme="minorEastAsia" w:hAnsiTheme="minorEastAsia" w:eastAsiaTheme="minorEastAsia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bCs/>
                <w:sz w:val="24"/>
                <w:szCs w:val="24"/>
              </w:rPr>
              <w:t>朱应双，排名10，副教授，杭州师范大学；</w:t>
            </w:r>
          </w:p>
          <w:p w14:paraId="6F31921B">
            <w:pPr>
              <w:spacing w:line="440" w:lineRule="exact"/>
              <w:rPr>
                <w:rFonts w:hint="eastAsia" w:asciiTheme="minorEastAsia" w:hAnsiTheme="minorEastAsia" w:eastAsiaTheme="minorEastAsia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bCs/>
                <w:sz w:val="24"/>
                <w:szCs w:val="24"/>
              </w:rPr>
              <w:t>刘成成，排名11，助理研究员，浙江大学医学院附属第二医院；</w:t>
            </w:r>
          </w:p>
          <w:p w14:paraId="79D4C99E">
            <w:pPr>
              <w:spacing w:line="440" w:lineRule="exact"/>
              <w:rPr>
                <w:rFonts w:hint="eastAsia" w:asciiTheme="minorEastAsia" w:hAnsiTheme="minorEastAsia" w:eastAsiaTheme="minorEastAsia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bCs/>
                <w:sz w:val="24"/>
                <w:szCs w:val="24"/>
              </w:rPr>
              <w:t>陈泽鑫，排名12，统计师，浙江大学医学院附属第二医院；</w:t>
            </w:r>
          </w:p>
          <w:p w14:paraId="489ED726">
            <w:pPr>
              <w:spacing w:line="440" w:lineRule="exact"/>
              <w:rPr>
                <w:rFonts w:hint="eastAsia" w:asciiTheme="minorEastAsia" w:hAnsiTheme="minorEastAsia" w:eastAsiaTheme="minorEastAsia"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bCs/>
                <w:sz w:val="24"/>
                <w:szCs w:val="24"/>
              </w:rPr>
              <w:t>陈一友，排名13，无，</w:t>
            </w:r>
            <w:r>
              <w:rPr>
                <w:rFonts w:hint="eastAsia" w:asciiTheme="minorEastAsia" w:hAnsiTheme="minorEastAsia" w:eastAsiaTheme="minorEastAsia"/>
                <w:sz w:val="24"/>
              </w:rPr>
              <w:t>杭州诺辉健康科技有限公司。</w:t>
            </w:r>
          </w:p>
        </w:tc>
      </w:tr>
      <w:tr w14:paraId="02AD81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6" w:hRule="atLeast"/>
        </w:trPr>
        <w:tc>
          <w:tcPr>
            <w:tcW w:w="2269" w:type="dxa"/>
            <w:tcBorders>
              <w:right w:val="single" w:color="auto" w:sz="4" w:space="0"/>
            </w:tcBorders>
            <w:vAlign w:val="center"/>
          </w:tcPr>
          <w:p w14:paraId="66853C20">
            <w:pPr>
              <w:spacing w:line="440" w:lineRule="exact"/>
              <w:jc w:val="center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/>
                <w:bCs/>
                <w:sz w:val="28"/>
                <w:szCs w:val="24"/>
              </w:rPr>
              <w:t>主要完成单位</w:t>
            </w:r>
          </w:p>
        </w:tc>
        <w:tc>
          <w:tcPr>
            <w:tcW w:w="6237" w:type="dxa"/>
            <w:tcBorders>
              <w:left w:val="single" w:color="auto" w:sz="4" w:space="0"/>
            </w:tcBorders>
            <w:vAlign w:val="center"/>
          </w:tcPr>
          <w:p w14:paraId="20608480">
            <w:pPr>
              <w:spacing w:line="440" w:lineRule="exact"/>
              <w:jc w:val="left"/>
              <w:rPr>
                <w:rFonts w:hint="eastAsia" w:asciiTheme="minorEastAsia" w:hAnsiTheme="minorEastAsia" w:eastAsiaTheme="minorEastAsia"/>
                <w:bCs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bCs/>
                <w:sz w:val="24"/>
                <w:szCs w:val="24"/>
              </w:rPr>
              <w:t>1.单位名称：</w:t>
            </w:r>
            <w:r>
              <w:rPr>
                <w:rFonts w:hint="eastAsia" w:asciiTheme="minorEastAsia" w:hAnsiTheme="minorEastAsia" w:eastAsiaTheme="minorEastAsia"/>
                <w:bCs/>
                <w:sz w:val="24"/>
                <w:szCs w:val="24"/>
              </w:rPr>
              <w:t>浙江大学医学院附属第二医院</w:t>
            </w:r>
          </w:p>
          <w:p w14:paraId="2F80FE6E">
            <w:pPr>
              <w:spacing w:line="440" w:lineRule="exact"/>
              <w:jc w:val="left"/>
              <w:rPr>
                <w:rFonts w:hint="eastAsia" w:asciiTheme="minorEastAsia" w:hAnsiTheme="minorEastAsia" w:eastAsiaTheme="minorEastAsia"/>
                <w:bCs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bCs/>
                <w:sz w:val="24"/>
                <w:szCs w:val="24"/>
              </w:rPr>
              <w:t>2.单位名称：</w:t>
            </w:r>
            <w:bookmarkStart w:id="0" w:name="OLE_LINK1"/>
            <w:r>
              <w:rPr>
                <w:rFonts w:hint="eastAsia" w:asciiTheme="minorEastAsia" w:hAnsiTheme="minorEastAsia" w:eastAsiaTheme="minorEastAsia"/>
                <w:sz w:val="24"/>
              </w:rPr>
              <w:t>杭州诺辉健康科技有限公司</w:t>
            </w:r>
            <w:bookmarkEnd w:id="0"/>
          </w:p>
        </w:tc>
      </w:tr>
      <w:tr w14:paraId="08EADE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2" w:hRule="atLeast"/>
        </w:trPr>
        <w:tc>
          <w:tcPr>
            <w:tcW w:w="2269" w:type="dxa"/>
            <w:vAlign w:val="center"/>
          </w:tcPr>
          <w:p w14:paraId="5550C668">
            <w:pPr>
              <w:jc w:val="center"/>
              <w:rPr>
                <w:rStyle w:val="36"/>
                <w:rFonts w:eastAsia="仿宋_GB2312"/>
                <w:b w:val="0"/>
                <w:color w:val="auto"/>
                <w:sz w:val="28"/>
                <w:szCs w:val="28"/>
              </w:rPr>
            </w:pPr>
            <w:r>
              <w:rPr>
                <w:rStyle w:val="36"/>
                <w:rFonts w:eastAsia="仿宋_GB2312"/>
                <w:b w:val="0"/>
                <w:color w:val="auto"/>
                <w:sz w:val="28"/>
                <w:szCs w:val="28"/>
              </w:rPr>
              <w:t>提名单位</w:t>
            </w:r>
          </w:p>
        </w:tc>
        <w:tc>
          <w:tcPr>
            <w:tcW w:w="6237" w:type="dxa"/>
            <w:vAlign w:val="center"/>
          </w:tcPr>
          <w:p w14:paraId="16D8741B">
            <w:pPr>
              <w:contextualSpacing/>
              <w:jc w:val="center"/>
              <w:rPr>
                <w:rStyle w:val="36"/>
                <w:rFonts w:hint="eastAsia" w:asciiTheme="minorEastAsia" w:hAnsiTheme="minorEastAsia" w:eastAsiaTheme="minorEastAsia"/>
                <w:b w:val="0"/>
                <w:color w:val="auto"/>
              </w:rPr>
            </w:pPr>
            <w:r>
              <w:rPr>
                <w:rStyle w:val="36"/>
                <w:rFonts w:hint="eastAsia" w:asciiTheme="minorEastAsia" w:hAnsiTheme="minorEastAsia" w:eastAsiaTheme="minorEastAsia"/>
                <w:b w:val="0"/>
                <w:color w:val="auto"/>
              </w:rPr>
              <w:t>浙江大学</w:t>
            </w:r>
          </w:p>
        </w:tc>
      </w:tr>
      <w:tr w14:paraId="790447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3" w:hRule="atLeast"/>
        </w:trPr>
        <w:tc>
          <w:tcPr>
            <w:tcW w:w="2269" w:type="dxa"/>
            <w:vAlign w:val="center"/>
          </w:tcPr>
          <w:p w14:paraId="356C0136">
            <w:pPr>
              <w:jc w:val="center"/>
              <w:rPr>
                <w:rStyle w:val="36"/>
                <w:rFonts w:eastAsia="仿宋_GB2312"/>
                <w:b w:val="0"/>
                <w:color w:val="auto"/>
                <w:sz w:val="28"/>
                <w:szCs w:val="28"/>
              </w:rPr>
            </w:pPr>
            <w:r>
              <w:rPr>
                <w:rStyle w:val="36"/>
                <w:rFonts w:eastAsia="仿宋_GB2312"/>
                <w:b w:val="0"/>
                <w:color w:val="auto"/>
                <w:sz w:val="28"/>
                <w:szCs w:val="28"/>
              </w:rPr>
              <w:t>提名意见</w:t>
            </w:r>
          </w:p>
        </w:tc>
        <w:tc>
          <w:tcPr>
            <w:tcW w:w="6237" w:type="dxa"/>
            <w:vAlign w:val="center"/>
          </w:tcPr>
          <w:p w14:paraId="0B7740F9">
            <w:pPr>
              <w:ind w:firstLine="480" w:firstLineChars="200"/>
              <w:contextualSpacing/>
              <w:rPr>
                <w:rStyle w:val="36"/>
                <w:rFonts w:hint="eastAsia" w:asciiTheme="minorEastAsia" w:hAnsiTheme="minorEastAsia" w:eastAsiaTheme="minorEastAsia"/>
                <w:b w:val="0"/>
                <w:color w:val="auto"/>
              </w:rPr>
            </w:pPr>
            <w:r>
              <w:rPr>
                <w:rFonts w:asciiTheme="minorEastAsia" w:hAnsiTheme="minorEastAsia" w:eastAsiaTheme="minorEastAsia"/>
                <w:bCs/>
                <w:sz w:val="24"/>
                <w:szCs w:val="24"/>
              </w:rPr>
              <w:t>针对我国肠癌筛查效能低下，全程管理与精准干预策略不清晰的问题，该团队开展了大肠癌早筛早诊体系范式创新与推广应用的研究工作，主要创新成果如下：1）建设质量优于国际同行的中国结直肠癌专病队列，鉴定了以菌群DNA、多维蛋白质组为代表的筛查生物标志物，为开发便携式早筛试剂盒提供线索；2）研发我国首个获批的结直肠癌早筛产品“常卫清”（多靶点粪便FIT-DNA检测试剂盒），并通过首个大规模、前瞻性、多中心注册临床试验（Clear-C）证实其有效性；3）建立肠镜动态病变捕获/识别系统与高危人群分层管理方案，确立了人群差异化随访策略。项目成果已在全国46家三甲医院推广，开发的多靶点结直肠癌筛查试剂盒已获批上市并投入临床应用，牵头制定了《中国结直肠癌早诊早治专家共识》并在全国推广。以上成果建立了大肠癌早筛早诊的新范式，项目整体水平国际先进，国内领先，推荐申报浙江省科学技术进步一等奖</w:t>
            </w:r>
            <w:r>
              <w:rPr>
                <w:rStyle w:val="36"/>
                <w:rFonts w:hint="eastAsia" w:asciiTheme="minorEastAsia" w:hAnsiTheme="minorEastAsia" w:eastAsiaTheme="minorEastAsia"/>
                <w:b w:val="0"/>
                <w:color w:val="auto"/>
              </w:rPr>
              <w:t>。</w:t>
            </w:r>
          </w:p>
        </w:tc>
      </w:tr>
    </w:tbl>
    <w:p w14:paraId="3A45F310">
      <w:pPr>
        <w:adjustRightInd w:val="0"/>
        <w:snapToGrid w:val="0"/>
        <w:spacing w:line="560" w:lineRule="exact"/>
        <w:rPr>
          <w:rFonts w:eastAsia="仿宋_GB2312"/>
          <w:sz w:val="32"/>
          <w:szCs w:val="32"/>
        </w:rPr>
      </w:pPr>
    </w:p>
    <w:p w14:paraId="041A1C36">
      <w:pPr>
        <w:rPr>
          <w:bCs/>
          <w:spacing w:val="2"/>
        </w:rPr>
        <w:sectPr>
          <w:footerReference r:id="rId5" w:type="default"/>
          <w:pgSz w:w="12242" w:h="15842"/>
          <w:pgMar w:top="1247" w:right="1134" w:bottom="1247" w:left="1418" w:header="851" w:footer="794" w:gutter="0"/>
          <w:cols w:space="720" w:num="1"/>
          <w:docGrid w:linePitch="286" w:charSpace="0"/>
        </w:sectPr>
      </w:pPr>
    </w:p>
    <w:p w14:paraId="75F02188">
      <w:pPr>
        <w:rPr>
          <w:bCs/>
          <w:spacing w:val="2"/>
        </w:rPr>
      </w:pPr>
    </w:p>
    <w:p w14:paraId="18434C8E">
      <w:pPr>
        <w:pStyle w:val="4"/>
        <w:jc w:val="center"/>
        <w:rPr>
          <w:rFonts w:eastAsia="方正黑体简体"/>
          <w:sz w:val="32"/>
          <w:szCs w:val="22"/>
        </w:rPr>
      </w:pPr>
      <w:r>
        <w:rPr>
          <w:rFonts w:eastAsia="方正黑体简体"/>
          <w:sz w:val="32"/>
          <w:szCs w:val="22"/>
        </w:rPr>
        <w:t>主要知识产权和标准规范目录</w:t>
      </w:r>
    </w:p>
    <w:tbl>
      <w:tblPr>
        <w:tblStyle w:val="16"/>
        <w:tblW w:w="1459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5"/>
        <w:gridCol w:w="2577"/>
        <w:gridCol w:w="992"/>
        <w:gridCol w:w="1655"/>
        <w:gridCol w:w="1213"/>
        <w:gridCol w:w="1213"/>
        <w:gridCol w:w="1213"/>
        <w:gridCol w:w="2215"/>
        <w:gridCol w:w="2215"/>
      </w:tblGrid>
      <w:tr w14:paraId="1AE7DB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DC97A9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知识产权</w:t>
            </w:r>
          </w:p>
          <w:p w14:paraId="71B31172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（标准规范）类别</w:t>
            </w:r>
          </w:p>
        </w:tc>
        <w:tc>
          <w:tcPr>
            <w:tcW w:w="25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B1478F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知识产权（标准规范）具体名称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13309D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国家</w:t>
            </w:r>
          </w:p>
          <w:p w14:paraId="1C3CADA9">
            <w:pPr>
              <w:jc w:val="center"/>
              <w:rPr>
                <w:rFonts w:eastAsia="仿宋_GB2312"/>
                <w:bCs/>
                <w:snapToGrid w:val="0"/>
                <w:kern w:val="0"/>
                <w:sz w:val="24"/>
                <w:szCs w:val="21"/>
              </w:rPr>
            </w:pPr>
            <w:r>
              <w:rPr>
                <w:rFonts w:eastAsia="仿宋_GB2312"/>
                <w:bCs/>
                <w:snapToGrid w:val="0"/>
                <w:kern w:val="0"/>
                <w:sz w:val="24"/>
                <w:szCs w:val="21"/>
              </w:rPr>
              <w:t>（地区）</w:t>
            </w:r>
          </w:p>
        </w:tc>
        <w:tc>
          <w:tcPr>
            <w:tcW w:w="1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DEEFD4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授权号</w:t>
            </w:r>
          </w:p>
          <w:p w14:paraId="29A38424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（标准规范编号）</w:t>
            </w: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1110AE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授权</w:t>
            </w:r>
          </w:p>
          <w:p w14:paraId="06B98E26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（标准发布）</w:t>
            </w:r>
          </w:p>
          <w:p w14:paraId="178EFE5B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日期</w:t>
            </w: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C0B106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证书编号（标准规范批准发布部门）</w:t>
            </w: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543211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权利人（标准规范起草单位）</w:t>
            </w:r>
          </w:p>
        </w:tc>
        <w:tc>
          <w:tcPr>
            <w:tcW w:w="22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11BA80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发明人（标准规范起草人）</w:t>
            </w:r>
          </w:p>
        </w:tc>
        <w:tc>
          <w:tcPr>
            <w:tcW w:w="22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2C91F2">
            <w:pPr>
              <w:jc w:val="center"/>
              <w:rPr>
                <w:rFonts w:eastAsia="仿宋_GB2312"/>
                <w:sz w:val="24"/>
                <w:szCs w:val="21"/>
              </w:rPr>
            </w:pPr>
            <w:r>
              <w:rPr>
                <w:rFonts w:eastAsia="仿宋_GB2312"/>
                <w:sz w:val="24"/>
                <w:szCs w:val="21"/>
              </w:rPr>
              <w:t>发明专利（标准规范）有效状态</w:t>
            </w:r>
          </w:p>
        </w:tc>
      </w:tr>
      <w:tr w14:paraId="3D4896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E6A294">
            <w:pPr>
              <w:rPr>
                <w:rFonts w:hint="eastAsia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1.标准规范</w:t>
            </w:r>
          </w:p>
        </w:tc>
        <w:tc>
          <w:tcPr>
            <w:tcW w:w="25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F7E054">
            <w:pPr>
              <w:rPr>
                <w:rFonts w:hint="eastAsia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中国结直肠癌早诊早治专家共识（2023版）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65EB2D">
            <w:pPr>
              <w:rPr>
                <w:rFonts w:hint="eastAsia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中国</w:t>
            </w:r>
          </w:p>
        </w:tc>
        <w:tc>
          <w:tcPr>
            <w:tcW w:w="1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FC166F">
            <w:pPr>
              <w:rPr>
                <w:rFonts w:hint="eastAsia"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F5682F">
            <w:pPr>
              <w:rPr>
                <w:rFonts w:hint="eastAsia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2023.12.26</w:t>
            </w: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AA8DF7">
            <w:pPr>
              <w:rPr>
                <w:rFonts w:hint="eastAsia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中华医学杂志</w:t>
            </w: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153417">
            <w:pPr>
              <w:rPr>
                <w:rFonts w:hint="eastAsia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中华医学会肿瘤学分会早诊早治学组</w:t>
            </w:r>
          </w:p>
        </w:tc>
        <w:tc>
          <w:tcPr>
            <w:tcW w:w="22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7C3DD4">
            <w:pPr>
              <w:rPr>
                <w:rFonts w:hint="eastAsia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丁克峰</w:t>
            </w:r>
          </w:p>
        </w:tc>
        <w:tc>
          <w:tcPr>
            <w:tcW w:w="22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5CE84D">
            <w:pPr>
              <w:rPr>
                <w:rFonts w:hint="eastAsia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有效</w:t>
            </w:r>
          </w:p>
        </w:tc>
      </w:tr>
      <w:tr w14:paraId="5CAA6B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B8417B">
            <w:pPr>
              <w:rPr>
                <w:rFonts w:hint="eastAsia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2.软件著作权</w:t>
            </w:r>
          </w:p>
        </w:tc>
        <w:tc>
          <w:tcPr>
            <w:tcW w:w="25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B4E2AD">
            <w:pPr>
              <w:rPr>
                <w:rFonts w:hint="eastAsia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消化内镜影像半自动化计算机视觉标注软件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68DC43">
            <w:pPr>
              <w:rPr>
                <w:rFonts w:hint="eastAsia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中国</w:t>
            </w:r>
          </w:p>
        </w:tc>
        <w:tc>
          <w:tcPr>
            <w:tcW w:w="1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D6F93D">
            <w:pPr>
              <w:rPr>
                <w:rFonts w:hint="eastAsia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2023SR0431720</w:t>
            </w: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247F97">
            <w:pPr>
              <w:rPr>
                <w:rFonts w:hint="eastAsia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2023.1.2</w:t>
            </w: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3F82F2">
            <w:pPr>
              <w:rPr>
                <w:rFonts w:hint="eastAsia"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8F5582">
            <w:pPr>
              <w:rPr>
                <w:rFonts w:hint="eastAsia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王达，凌添翼，丁克峰</w:t>
            </w:r>
          </w:p>
        </w:tc>
        <w:tc>
          <w:tcPr>
            <w:tcW w:w="22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D01CAA">
            <w:pPr>
              <w:rPr>
                <w:rFonts w:hint="eastAsia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王达，凌添翼，丁克峰</w:t>
            </w:r>
          </w:p>
        </w:tc>
        <w:tc>
          <w:tcPr>
            <w:tcW w:w="22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E887B0">
            <w:pPr>
              <w:rPr>
                <w:rFonts w:hint="eastAsia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有效</w:t>
            </w:r>
          </w:p>
        </w:tc>
      </w:tr>
      <w:tr w14:paraId="6DE4A6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E2D592">
            <w:pPr>
              <w:rPr>
                <w:rFonts w:hint="eastAsia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3.专利</w:t>
            </w:r>
          </w:p>
        </w:tc>
        <w:tc>
          <w:tcPr>
            <w:tcW w:w="25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27F3CA">
            <w:pPr>
              <w:rPr>
                <w:rFonts w:hint="eastAsia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检测NDRG4基因甲基化位点的产品在制备结直肠癌早期检测的产品的用途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C07D9A">
            <w:pPr>
              <w:rPr>
                <w:rFonts w:hint="eastAsia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中国</w:t>
            </w:r>
          </w:p>
        </w:tc>
        <w:tc>
          <w:tcPr>
            <w:tcW w:w="1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9F4208">
            <w:pPr>
              <w:jc w:val="center"/>
              <w:rPr>
                <w:rFonts w:hint="eastAsia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ZL201810502387.9</w:t>
            </w: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B4F283">
            <w:pPr>
              <w:rPr>
                <w:rFonts w:hint="eastAsia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2019.12.17</w:t>
            </w: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C881FA">
            <w:pPr>
              <w:rPr>
                <w:rFonts w:hint="eastAsia" w:asciiTheme="minorEastAsia" w:hAnsiTheme="minorEastAsia" w:eastAsiaTheme="minorEastAsia"/>
                <w:sz w:val="24"/>
                <w:szCs w:val="24"/>
              </w:rPr>
            </w:pP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2F2D5B">
            <w:pPr>
              <w:rPr>
                <w:rFonts w:hint="eastAsia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杭州诺辉健康科技有限公司</w:t>
            </w:r>
          </w:p>
        </w:tc>
        <w:tc>
          <w:tcPr>
            <w:tcW w:w="22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EBFE96">
            <w:pPr>
              <w:rPr>
                <w:rFonts w:hint="eastAsia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李慧，李存耀，郑伟贤，杨蛟，刘刚，吕宁，陈一友</w:t>
            </w:r>
          </w:p>
        </w:tc>
        <w:tc>
          <w:tcPr>
            <w:tcW w:w="22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928426">
            <w:pPr>
              <w:rPr>
                <w:rFonts w:hint="eastAsia" w:asciiTheme="minorEastAsia" w:hAnsiTheme="minorEastAsia" w:eastAsia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  <w:szCs w:val="24"/>
              </w:rPr>
              <w:t>有效</w:t>
            </w:r>
          </w:p>
        </w:tc>
      </w:tr>
      <w:tr w14:paraId="0D8E45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017A6A">
            <w:pPr>
              <w:rPr>
                <w:sz w:val="28"/>
                <w:szCs w:val="28"/>
              </w:rPr>
            </w:pPr>
          </w:p>
        </w:tc>
        <w:tc>
          <w:tcPr>
            <w:tcW w:w="25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0C219A9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5F4A79">
            <w:pPr>
              <w:rPr>
                <w:sz w:val="28"/>
                <w:szCs w:val="28"/>
              </w:rPr>
            </w:pPr>
          </w:p>
        </w:tc>
        <w:tc>
          <w:tcPr>
            <w:tcW w:w="1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B8FB3E">
            <w:pPr>
              <w:rPr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8B59F5">
            <w:pPr>
              <w:rPr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06DD27">
            <w:pPr>
              <w:rPr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5EF024">
            <w:pPr>
              <w:rPr>
                <w:sz w:val="28"/>
                <w:szCs w:val="28"/>
              </w:rPr>
            </w:pPr>
          </w:p>
        </w:tc>
        <w:tc>
          <w:tcPr>
            <w:tcW w:w="22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2F8027">
            <w:pPr>
              <w:rPr>
                <w:sz w:val="28"/>
                <w:szCs w:val="28"/>
              </w:rPr>
            </w:pPr>
          </w:p>
        </w:tc>
        <w:tc>
          <w:tcPr>
            <w:tcW w:w="22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54214C">
            <w:pPr>
              <w:rPr>
                <w:sz w:val="28"/>
                <w:szCs w:val="28"/>
              </w:rPr>
            </w:pPr>
          </w:p>
        </w:tc>
      </w:tr>
      <w:tr w14:paraId="70E02C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030CD4">
            <w:pPr>
              <w:rPr>
                <w:sz w:val="28"/>
                <w:szCs w:val="28"/>
              </w:rPr>
            </w:pPr>
          </w:p>
        </w:tc>
        <w:tc>
          <w:tcPr>
            <w:tcW w:w="25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E0FE86C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54550C">
            <w:pPr>
              <w:rPr>
                <w:sz w:val="28"/>
                <w:szCs w:val="28"/>
              </w:rPr>
            </w:pPr>
          </w:p>
        </w:tc>
        <w:tc>
          <w:tcPr>
            <w:tcW w:w="1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4F70B8">
            <w:pPr>
              <w:rPr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A42800">
            <w:pPr>
              <w:rPr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9F43DE">
            <w:pPr>
              <w:rPr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FB7A82">
            <w:pPr>
              <w:rPr>
                <w:sz w:val="28"/>
                <w:szCs w:val="28"/>
              </w:rPr>
            </w:pPr>
          </w:p>
        </w:tc>
        <w:tc>
          <w:tcPr>
            <w:tcW w:w="22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97A56B">
            <w:pPr>
              <w:rPr>
                <w:sz w:val="28"/>
                <w:szCs w:val="28"/>
              </w:rPr>
            </w:pPr>
          </w:p>
        </w:tc>
        <w:tc>
          <w:tcPr>
            <w:tcW w:w="22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B1CBB1">
            <w:pPr>
              <w:rPr>
                <w:sz w:val="28"/>
                <w:szCs w:val="28"/>
              </w:rPr>
            </w:pPr>
          </w:p>
        </w:tc>
      </w:tr>
    </w:tbl>
    <w:p w14:paraId="7137485C">
      <w:pPr>
        <w:spacing w:before="100" w:beforeAutospacing="1" w:after="100" w:afterAutospacing="1"/>
        <w:rPr>
          <w:rFonts w:eastAsia="黑体"/>
          <w:kern w:val="0"/>
          <w:sz w:val="32"/>
          <w:szCs w:val="32"/>
        </w:rPr>
        <w:sectPr>
          <w:pgSz w:w="15842" w:h="12242" w:orient="landscape"/>
          <w:pgMar w:top="1418" w:right="1247" w:bottom="1134" w:left="1247" w:header="851" w:footer="794" w:gutter="0"/>
          <w:cols w:space="720" w:num="1"/>
          <w:docGrid w:linePitch="286" w:charSpace="0"/>
        </w:sectPr>
      </w:pPr>
    </w:p>
    <w:p w14:paraId="04B07724">
      <w:pPr>
        <w:pStyle w:val="4"/>
        <w:jc w:val="center"/>
        <w:rPr>
          <w:rFonts w:eastAsia="方正黑体简体"/>
          <w:sz w:val="32"/>
          <w:szCs w:val="22"/>
        </w:rPr>
      </w:pPr>
      <w:r>
        <w:rPr>
          <w:rFonts w:eastAsia="方正黑体简体"/>
          <w:sz w:val="32"/>
          <w:szCs w:val="22"/>
        </w:rPr>
        <w:t>代表性论文专著目录</w:t>
      </w:r>
    </w:p>
    <w:tbl>
      <w:tblPr>
        <w:tblStyle w:val="16"/>
        <w:tblW w:w="8095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18"/>
        <w:gridCol w:w="3571"/>
        <w:gridCol w:w="963"/>
        <w:gridCol w:w="993"/>
        <w:gridCol w:w="850"/>
      </w:tblGrid>
      <w:tr w14:paraId="673268B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exact"/>
          <w:jc w:val="center"/>
        </w:trPr>
        <w:tc>
          <w:tcPr>
            <w:tcW w:w="1718" w:type="dxa"/>
            <w:tcBorders>
              <w:top w:val="single" w:color="auto" w:sz="12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0D75C66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作 者</w:t>
            </w:r>
          </w:p>
        </w:tc>
        <w:tc>
          <w:tcPr>
            <w:tcW w:w="3571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10070FF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论文专著名称/刊物</w:t>
            </w:r>
          </w:p>
        </w:tc>
        <w:tc>
          <w:tcPr>
            <w:tcW w:w="963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FBCC77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年卷</w:t>
            </w:r>
          </w:p>
          <w:p w14:paraId="1EDFD0C4">
            <w:pPr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 w:val="24"/>
              </w:rPr>
              <w:t>页码</w:t>
            </w:r>
          </w:p>
        </w:tc>
        <w:tc>
          <w:tcPr>
            <w:tcW w:w="993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58B963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发表</w:t>
            </w:r>
          </w:p>
          <w:p w14:paraId="65CCB7B2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时间</w:t>
            </w:r>
          </w:p>
          <w:p w14:paraId="79B0125C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（年、月）</w:t>
            </w:r>
          </w:p>
        </w:tc>
        <w:tc>
          <w:tcPr>
            <w:tcW w:w="850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BD466F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他引</w:t>
            </w:r>
          </w:p>
          <w:p w14:paraId="624409A2"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eastAsia="仿宋_GB2312"/>
                <w:sz w:val="24"/>
              </w:rPr>
              <w:t>总次数</w:t>
            </w:r>
          </w:p>
        </w:tc>
      </w:tr>
      <w:tr w14:paraId="4E91CCB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8" w:hRule="exact"/>
          <w:jc w:val="center"/>
        </w:trPr>
        <w:tc>
          <w:tcPr>
            <w:tcW w:w="1718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3E703C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Y. Zhu, Y. Hu, X. Kong, Q. Xiao, Z. Pan, Z. Zheng, Y. Wei, W. Ziqiang, D. Wang, J. Chen, K. Chen, S. Zheng, M. Wang, X. Wu, K. Ding</w:t>
            </w:r>
          </w:p>
        </w:tc>
        <w:tc>
          <w:tcPr>
            <w:tcW w:w="357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0899D7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Cohort profile: The National Colorectal Cancer Cohort (NCRCC) study in China, BMJ Open, 11 (2021) e051397.</w:t>
            </w:r>
          </w:p>
        </w:tc>
        <w:tc>
          <w:tcPr>
            <w:tcW w:w="96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A6B082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2021 Dec 13;11(12):e051397</w:t>
            </w:r>
          </w:p>
        </w:tc>
        <w:tc>
          <w:tcPr>
            <w:tcW w:w="9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72531F6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2021</w:t>
            </w:r>
          </w:p>
        </w:tc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8FA8A20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</w:t>
            </w:r>
          </w:p>
        </w:tc>
      </w:tr>
      <w:tr w14:paraId="432C917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3" w:hRule="exact"/>
          <w:jc w:val="center"/>
        </w:trPr>
        <w:tc>
          <w:tcPr>
            <w:tcW w:w="1718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A6728D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Q. Xiao, W. Lu, X. Kong, Y.W. Shao, Y. Hu, A. Wang, H. Bao, R. Cao, K. Liu, X. Wang, X. Wu, S. Zheng, Y. Yuan, K. Ding</w:t>
            </w:r>
          </w:p>
        </w:tc>
        <w:tc>
          <w:tcPr>
            <w:tcW w:w="357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296F8A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Alterations of circulating bacterial DNA in colorectal cancer and adenoma: A proof-of-concept study, Cancer Letters, 499 (2021) 201-208.</w:t>
            </w:r>
          </w:p>
        </w:tc>
        <w:tc>
          <w:tcPr>
            <w:tcW w:w="96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CE071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499:201-208</w:t>
            </w:r>
          </w:p>
        </w:tc>
        <w:tc>
          <w:tcPr>
            <w:tcW w:w="9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F3EBD5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2021</w:t>
            </w:r>
          </w:p>
        </w:tc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EAB0D5D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58</w:t>
            </w:r>
          </w:p>
        </w:tc>
      </w:tr>
      <w:tr w14:paraId="0A1D4CF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8" w:hRule="exact"/>
          <w:jc w:val="center"/>
        </w:trPr>
        <w:tc>
          <w:tcPr>
            <w:tcW w:w="1718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FD52C3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J. Sun, Y. Liu, J. Zhao, B. Lu, S. Zhou, W. Lu, J. Wei, Y. Hu, X. Kong, J. Gao, H. Guan, J. Gao, Q. Xiao, X. Li,</w:t>
            </w:r>
          </w:p>
        </w:tc>
        <w:tc>
          <w:tcPr>
            <w:tcW w:w="357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49FE663">
            <w:pPr>
              <w:rPr>
                <w:sz w:val="18"/>
                <w:szCs w:val="18"/>
              </w:rPr>
            </w:pPr>
          </w:p>
          <w:p w14:paraId="2556229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Plasma proteomic and polygenic profiling improve risk stratification and personalized screening for colorectal cancer, Nat</w:t>
            </w:r>
            <w:r>
              <w:rPr>
                <w:rFonts w:hint="eastAsia"/>
                <w:sz w:val="18"/>
                <w:szCs w:val="18"/>
              </w:rPr>
              <w:t>ure</w:t>
            </w:r>
            <w:r>
              <w:rPr>
                <w:sz w:val="18"/>
                <w:szCs w:val="18"/>
              </w:rPr>
              <w:t xml:space="preserve"> Commun</w:t>
            </w:r>
            <w:r>
              <w:rPr>
                <w:rFonts w:hint="eastAsia"/>
                <w:sz w:val="18"/>
                <w:szCs w:val="18"/>
              </w:rPr>
              <w:t>ications</w:t>
            </w:r>
            <w:r>
              <w:rPr>
                <w:sz w:val="18"/>
                <w:szCs w:val="18"/>
              </w:rPr>
              <w:t>, 15 (2024) 8873.</w:t>
            </w:r>
          </w:p>
          <w:p w14:paraId="747A6873">
            <w:pPr>
              <w:rPr>
                <w:sz w:val="18"/>
                <w:szCs w:val="18"/>
              </w:rPr>
            </w:pPr>
          </w:p>
          <w:p w14:paraId="1706034F">
            <w:pPr>
              <w:rPr>
                <w:sz w:val="18"/>
                <w:szCs w:val="18"/>
              </w:rPr>
            </w:pPr>
          </w:p>
          <w:p w14:paraId="5CB9A72B">
            <w:pPr>
              <w:rPr>
                <w:sz w:val="18"/>
                <w:szCs w:val="18"/>
              </w:rPr>
            </w:pPr>
          </w:p>
        </w:tc>
        <w:tc>
          <w:tcPr>
            <w:tcW w:w="96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4F02A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15(1), 8873.</w:t>
            </w:r>
          </w:p>
        </w:tc>
        <w:tc>
          <w:tcPr>
            <w:tcW w:w="9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7266975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2024</w:t>
            </w:r>
          </w:p>
        </w:tc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7A899B4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</w:tr>
      <w:tr w14:paraId="6B8CAC0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8" w:hRule="exact"/>
          <w:jc w:val="center"/>
        </w:trPr>
        <w:tc>
          <w:tcPr>
            <w:tcW w:w="1718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11E202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J. Sun, J. Zhao, F. Jiang, L. Wang, Q. Xiao, F. Han, J. Chen, S. Yuan, J. Wei, S.C</w:t>
            </w:r>
            <w:r>
              <w:rPr>
                <w:rFonts w:hint="eastAsia"/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 xml:space="preserve"> Larsson, H. Zhang, M.G. Dunlop, S.M. Farrington, K. Ding, E. Theodoratou, X. Li,</w:t>
            </w:r>
          </w:p>
        </w:tc>
        <w:tc>
          <w:tcPr>
            <w:tcW w:w="357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BC562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Identification of novel protein biomarkers and drug targets for colorectal cancer by integrating human plasma proteome with genome, Genome Medicine, 15 (2023) 75.</w:t>
            </w:r>
          </w:p>
        </w:tc>
        <w:tc>
          <w:tcPr>
            <w:tcW w:w="96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E4D52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Volume</w:t>
            </w:r>
          </w:p>
          <w:p w14:paraId="7773E98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  <w:p w14:paraId="34D3A5C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Issue</w:t>
            </w:r>
          </w:p>
          <w:p w14:paraId="368ACDB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6035900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2023</w:t>
            </w:r>
          </w:p>
        </w:tc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7A1537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119</w:t>
            </w:r>
          </w:p>
        </w:tc>
      </w:tr>
      <w:tr w14:paraId="3151FDE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2" w:hRule="exact"/>
          <w:jc w:val="center"/>
        </w:trPr>
        <w:tc>
          <w:tcPr>
            <w:tcW w:w="1718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AF981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Y.T. Hu, X.F. Chen, C.B. Zhai, X.T. Yu, G. Liu, Z.G. Xiong, Z.Q. Wang, S.J. Cai, W.C. Li, X.X. Kong, Q. Xiao, C.H. Wang, Z.H. Tao, L.Y. Niu, J.L. Men, Q. Wang, S.Z. Wei, J.J. Hu, T.H. Yang, J.J. Peng, G.Z. Jiang, N. Lv, Y.Y. Chen, S. Zheng, Y.H. Gu, K.F. Ding,</w:t>
            </w:r>
          </w:p>
        </w:tc>
        <w:tc>
          <w:tcPr>
            <w:tcW w:w="357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169F8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Clinical evaluation of a multitarget fecal immunochemical test-sDNA test for colorectal cancer screening in a high-risk population: a prospective, multicenter clinical study, MedComm (2020), 4 (2023) e345.</w:t>
            </w:r>
          </w:p>
        </w:tc>
        <w:tc>
          <w:tcPr>
            <w:tcW w:w="96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97034E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(2023) e345</w:t>
            </w:r>
          </w:p>
        </w:tc>
        <w:tc>
          <w:tcPr>
            <w:tcW w:w="9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0AA3DF0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2023</w:t>
            </w:r>
          </w:p>
        </w:tc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E16F215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</w:t>
            </w:r>
          </w:p>
        </w:tc>
      </w:tr>
      <w:tr w14:paraId="36FD3F2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5" w:hRule="exact"/>
          <w:jc w:val="center"/>
        </w:trPr>
        <w:tc>
          <w:tcPr>
            <w:tcW w:w="1718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1872EF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Y. Zhu, X. Li, Y. Hu, K. Chen, S. Zheng, K. Ding</w:t>
            </w:r>
          </w:p>
        </w:tc>
        <w:tc>
          <w:tcPr>
            <w:tcW w:w="357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A21603F">
            <w:pPr>
              <w:rPr>
                <w:sz w:val="18"/>
                <w:szCs w:val="18"/>
              </w:rPr>
            </w:pPr>
            <w:bookmarkStart w:id="1" w:name="OLE_LINK4"/>
            <w:r>
              <w:rPr>
                <w:sz w:val="18"/>
                <w:szCs w:val="18"/>
              </w:rPr>
              <w:t>Nonadherence to Referral Colonoscopy After Positive Fecal Immunochemical Test Results Increases the Risk of Distal Colorectal Cancer Mortality</w:t>
            </w:r>
            <w:bookmarkEnd w:id="1"/>
            <w:r>
              <w:rPr>
                <w:sz w:val="18"/>
                <w:szCs w:val="18"/>
              </w:rPr>
              <w:t>, Gastroenterology, 165 (2023) 1558-1560.e1554.</w:t>
            </w:r>
          </w:p>
        </w:tc>
        <w:tc>
          <w:tcPr>
            <w:tcW w:w="96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76124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1558-1560.e1554</w:t>
            </w:r>
          </w:p>
        </w:tc>
        <w:tc>
          <w:tcPr>
            <w:tcW w:w="9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5A8DD68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2023</w:t>
            </w:r>
          </w:p>
        </w:tc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A42928F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</w:t>
            </w:r>
          </w:p>
        </w:tc>
      </w:tr>
      <w:tr w14:paraId="1BCCFE4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7" w:hRule="exact"/>
          <w:jc w:val="center"/>
        </w:trPr>
        <w:tc>
          <w:tcPr>
            <w:tcW w:w="1718" w:type="dxa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2C6BC44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Y. Zhu, Y. Huang, Y. Hu, Y. Fang, X. Kong, Q. Xiao, J. He, Y. Zhu, Q. Li, J. Yang, Q. Dong, M. Jin, M. Wang, K. Chen, S. Zheng, K. Ding,</w:t>
            </w:r>
          </w:p>
        </w:tc>
        <w:tc>
          <w:tcPr>
            <w:tcW w:w="357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D54E7B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Long-term risk of colorectal cancer after removal of adenomas during screening colonoscopies in a large community-based population in China, International Journal of Cancer, 150 (2022) 594-602.</w:t>
            </w:r>
          </w:p>
        </w:tc>
        <w:tc>
          <w:tcPr>
            <w:tcW w:w="96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D49A20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 (4) , pp.594-602</w:t>
            </w:r>
          </w:p>
        </w:tc>
        <w:tc>
          <w:tcPr>
            <w:tcW w:w="9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CDADFBC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2022</w:t>
            </w:r>
          </w:p>
        </w:tc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3C5F175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</w:t>
            </w:r>
          </w:p>
        </w:tc>
      </w:tr>
      <w:tr w14:paraId="720500A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2" w:hRule="exact"/>
          <w:jc w:val="center"/>
        </w:trPr>
        <w:tc>
          <w:tcPr>
            <w:tcW w:w="7245" w:type="dxa"/>
            <w:gridSpan w:val="4"/>
            <w:tcBorders>
              <w:top w:val="single" w:color="auto" w:sz="6" w:space="0"/>
              <w:left w:val="single" w:color="auto" w:sz="12" w:space="0"/>
              <w:bottom w:val="single" w:color="auto" w:sz="12" w:space="0"/>
              <w:right w:val="single" w:color="auto" w:sz="6" w:space="0"/>
            </w:tcBorders>
            <w:vAlign w:val="center"/>
          </w:tcPr>
          <w:p w14:paraId="2242DAE8">
            <w:pPr>
              <w:jc w:val="right"/>
              <w:rPr>
                <w:szCs w:val="21"/>
              </w:rPr>
            </w:pPr>
            <w:r>
              <w:rPr>
                <w:szCs w:val="21"/>
              </w:rPr>
              <w:t>合  计:</w:t>
            </w:r>
          </w:p>
        </w:tc>
        <w:tc>
          <w:tcPr>
            <w:tcW w:w="850" w:type="dxa"/>
            <w:tcBorders>
              <w:top w:val="single" w:color="auto" w:sz="6" w:space="0"/>
              <w:left w:val="single" w:color="auto" w:sz="6" w:space="0"/>
              <w:bottom w:val="single" w:color="auto" w:sz="12" w:space="0"/>
              <w:right w:val="single" w:color="auto" w:sz="6" w:space="0"/>
            </w:tcBorders>
            <w:vAlign w:val="center"/>
          </w:tcPr>
          <w:p w14:paraId="79D4C135">
            <w:pPr>
              <w:jc w:val="right"/>
              <w:rPr>
                <w:szCs w:val="21"/>
              </w:rPr>
            </w:pPr>
            <w:r>
              <w:rPr>
                <w:rFonts w:hint="eastAsia"/>
                <w:szCs w:val="21"/>
              </w:rPr>
              <w:t>207</w:t>
            </w:r>
          </w:p>
        </w:tc>
      </w:tr>
    </w:tbl>
    <w:p w14:paraId="44F7880C"/>
    <w:p w14:paraId="132C210A">
      <w:pPr>
        <w:adjustRightInd w:val="0"/>
        <w:snapToGrid w:val="0"/>
        <w:spacing w:line="560" w:lineRule="exact"/>
        <w:rPr>
          <w:rFonts w:eastAsia="仿宋_GB2312"/>
          <w:sz w:val="32"/>
          <w:szCs w:val="32"/>
        </w:rPr>
      </w:pPr>
    </w:p>
    <w:sectPr>
      <w:headerReference r:id="rId8" w:type="first"/>
      <w:headerReference r:id="rId6" w:type="default"/>
      <w:footerReference r:id="rId9" w:type="default"/>
      <w:headerReference r:id="rId7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0DC8AAE-5B97-4785-A733-35D5630C0BC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1D53ED5-3ECA-4DED-BD68-78EA5429938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81A7E131-D7BC-4AA1-86D0-C3DF23C3A9BF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BCF786BD-5579-46FB-851A-002E19D3C55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128D1522-26CF-4FCA-BE43-B967311763E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0F3CB856-DA35-4349-9C5F-AB97B693277C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51315F8D-9D6E-4032-8A1F-F90A627E7D56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7DCF0959-715D-46AA-9AA1-2E865BCA23EB}"/>
  </w:font>
  <w:font w:name="方正仿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  <w:embedRegular r:id="rId9" w:fontKey="{4BBB399A-CD0E-4942-A458-72AABEB3E57A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7D063FEF-E4BC-4319-923B-1A157FBDE43A}"/>
  </w:font>
  <w:font w:name="方正黑体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11" w:fontKey="{3DDD5F27-88FB-4C0F-BD9C-56EC2A23706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35432224"/>
    </w:sdtPr>
    <w:sdtContent>
      <w:p w14:paraId="672B0BCC">
        <w:pPr>
          <w:pStyle w:val="9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79709056">
    <w:pPr>
      <w:pStyle w:val="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76286816"/>
    </w:sdtPr>
    <w:sdtEndPr>
      <w:rPr>
        <w:sz w:val="21"/>
        <w:szCs w:val="21"/>
      </w:rPr>
    </w:sdtEndPr>
    <w:sdtContent>
      <w:p w14:paraId="5B22BDE4">
        <w:pPr>
          <w:pStyle w:val="9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 xml:space="preserve">PAGE   \* MERGEFORMAT</w:instrText>
        </w:r>
        <w:r>
          <w:rPr>
            <w:sz w:val="21"/>
            <w:szCs w:val="21"/>
          </w:rPr>
          <w:fldChar w:fldCharType="separate"/>
        </w:r>
        <w:r>
          <w:rPr>
            <w:sz w:val="21"/>
            <w:szCs w:val="21"/>
            <w:lang w:val="zh-CN"/>
          </w:rPr>
          <w:t>143</w:t>
        </w:r>
        <w:r>
          <w:rPr>
            <w:sz w:val="21"/>
            <w:szCs w:val="2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75AFD8">
    <w:pPr>
      <w:ind w:left="420" w:hanging="4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7A2905">
    <w:pPr>
      <w:pStyle w:val="10"/>
      <w:ind w:left="360" w:hanging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50F4DE">
    <w:pPr>
      <w:pStyle w:val="10"/>
      <w:ind w:left="360" w:hanging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1"/>
  <w:bordersDoNotSurroundFooter w:val="1"/>
  <w:hideSpellingErrors/>
  <w:documentProtection w:enforcement="0"/>
  <w:defaultTabStop w:val="420"/>
  <w:drawingGridHorizontalSpacing w:val="105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JhNDgxZDBiYzczNDM2YjM1OGQzM2RlOTYzN2FiZTQifQ=="/>
    <w:docVar w:name="KSO_WPS_MARK_KEY" w:val="02f6fdb2-0872-4f38-94b1-cc8e195e9e73"/>
  </w:docVars>
  <w:rsids>
    <w:rsidRoot w:val="007C28FF"/>
    <w:rsid w:val="00005D61"/>
    <w:rsid w:val="00006056"/>
    <w:rsid w:val="00007BBE"/>
    <w:rsid w:val="000165DC"/>
    <w:rsid w:val="00031E44"/>
    <w:rsid w:val="00033288"/>
    <w:rsid w:val="0004004D"/>
    <w:rsid w:val="00051BE3"/>
    <w:rsid w:val="00053F24"/>
    <w:rsid w:val="0006546D"/>
    <w:rsid w:val="000677AF"/>
    <w:rsid w:val="00067E32"/>
    <w:rsid w:val="00083906"/>
    <w:rsid w:val="000847FC"/>
    <w:rsid w:val="000929AE"/>
    <w:rsid w:val="000A0FE4"/>
    <w:rsid w:val="000B2E39"/>
    <w:rsid w:val="000B70B3"/>
    <w:rsid w:val="000C632A"/>
    <w:rsid w:val="000F1229"/>
    <w:rsid w:val="000F2CC3"/>
    <w:rsid w:val="000F6066"/>
    <w:rsid w:val="000F6517"/>
    <w:rsid w:val="000F6B39"/>
    <w:rsid w:val="000F7732"/>
    <w:rsid w:val="001039E9"/>
    <w:rsid w:val="00104F03"/>
    <w:rsid w:val="00120B5A"/>
    <w:rsid w:val="0012430D"/>
    <w:rsid w:val="00132249"/>
    <w:rsid w:val="001435CC"/>
    <w:rsid w:val="00153E23"/>
    <w:rsid w:val="00154376"/>
    <w:rsid w:val="001553CE"/>
    <w:rsid w:val="001614FC"/>
    <w:rsid w:val="0016168D"/>
    <w:rsid w:val="00165962"/>
    <w:rsid w:val="0017168F"/>
    <w:rsid w:val="00172167"/>
    <w:rsid w:val="001806B8"/>
    <w:rsid w:val="001829B2"/>
    <w:rsid w:val="00185449"/>
    <w:rsid w:val="00192701"/>
    <w:rsid w:val="0019371C"/>
    <w:rsid w:val="001A5554"/>
    <w:rsid w:val="001A55E6"/>
    <w:rsid w:val="001B0C22"/>
    <w:rsid w:val="001B454D"/>
    <w:rsid w:val="001C4D6D"/>
    <w:rsid w:val="001D3908"/>
    <w:rsid w:val="001F032B"/>
    <w:rsid w:val="001F2C76"/>
    <w:rsid w:val="001F7F40"/>
    <w:rsid w:val="0020065F"/>
    <w:rsid w:val="00212129"/>
    <w:rsid w:val="00213CE9"/>
    <w:rsid w:val="00214277"/>
    <w:rsid w:val="0021734C"/>
    <w:rsid w:val="002242B0"/>
    <w:rsid w:val="002247F4"/>
    <w:rsid w:val="00230FE9"/>
    <w:rsid w:val="0023223F"/>
    <w:rsid w:val="00244749"/>
    <w:rsid w:val="00247A49"/>
    <w:rsid w:val="00251808"/>
    <w:rsid w:val="002579D1"/>
    <w:rsid w:val="00274333"/>
    <w:rsid w:val="002745F8"/>
    <w:rsid w:val="00283031"/>
    <w:rsid w:val="0029509E"/>
    <w:rsid w:val="00296134"/>
    <w:rsid w:val="002A2925"/>
    <w:rsid w:val="002A5C34"/>
    <w:rsid w:val="002A7955"/>
    <w:rsid w:val="002B3198"/>
    <w:rsid w:val="002B775B"/>
    <w:rsid w:val="002C6803"/>
    <w:rsid w:val="002C6E65"/>
    <w:rsid w:val="002D1FA7"/>
    <w:rsid w:val="002D3BA3"/>
    <w:rsid w:val="002E42A8"/>
    <w:rsid w:val="002E43DB"/>
    <w:rsid w:val="002F1911"/>
    <w:rsid w:val="002F74D2"/>
    <w:rsid w:val="0030543F"/>
    <w:rsid w:val="003063D6"/>
    <w:rsid w:val="00311F89"/>
    <w:rsid w:val="003125EF"/>
    <w:rsid w:val="003217DC"/>
    <w:rsid w:val="00325A9D"/>
    <w:rsid w:val="00326352"/>
    <w:rsid w:val="00330554"/>
    <w:rsid w:val="00331B99"/>
    <w:rsid w:val="00336678"/>
    <w:rsid w:val="00340314"/>
    <w:rsid w:val="00343DF4"/>
    <w:rsid w:val="00347614"/>
    <w:rsid w:val="00356B8A"/>
    <w:rsid w:val="00363C7E"/>
    <w:rsid w:val="00370977"/>
    <w:rsid w:val="00377C1C"/>
    <w:rsid w:val="00382214"/>
    <w:rsid w:val="00382EDD"/>
    <w:rsid w:val="00386D85"/>
    <w:rsid w:val="003A08CF"/>
    <w:rsid w:val="003A343A"/>
    <w:rsid w:val="003A466E"/>
    <w:rsid w:val="003A5D0E"/>
    <w:rsid w:val="003A60A7"/>
    <w:rsid w:val="003B0906"/>
    <w:rsid w:val="003B2A50"/>
    <w:rsid w:val="003B3345"/>
    <w:rsid w:val="003C1234"/>
    <w:rsid w:val="003C4124"/>
    <w:rsid w:val="003E6BFB"/>
    <w:rsid w:val="003F0278"/>
    <w:rsid w:val="003F1E9D"/>
    <w:rsid w:val="003F76A0"/>
    <w:rsid w:val="00401E30"/>
    <w:rsid w:val="004179C8"/>
    <w:rsid w:val="004205CB"/>
    <w:rsid w:val="0042367A"/>
    <w:rsid w:val="00427A6E"/>
    <w:rsid w:val="004300EE"/>
    <w:rsid w:val="00442705"/>
    <w:rsid w:val="00444A55"/>
    <w:rsid w:val="0044700B"/>
    <w:rsid w:val="0044760A"/>
    <w:rsid w:val="00453528"/>
    <w:rsid w:val="00453C0E"/>
    <w:rsid w:val="00461A90"/>
    <w:rsid w:val="004820BD"/>
    <w:rsid w:val="00484A1D"/>
    <w:rsid w:val="00484D69"/>
    <w:rsid w:val="004929AC"/>
    <w:rsid w:val="00492EAC"/>
    <w:rsid w:val="004A54D0"/>
    <w:rsid w:val="004A6419"/>
    <w:rsid w:val="004B13A5"/>
    <w:rsid w:val="004B531C"/>
    <w:rsid w:val="004C2337"/>
    <w:rsid w:val="004D3106"/>
    <w:rsid w:val="004D55B5"/>
    <w:rsid w:val="004E11C6"/>
    <w:rsid w:val="004E36AB"/>
    <w:rsid w:val="004F503B"/>
    <w:rsid w:val="004F551A"/>
    <w:rsid w:val="005002DF"/>
    <w:rsid w:val="00500EBD"/>
    <w:rsid w:val="00504232"/>
    <w:rsid w:val="00510C66"/>
    <w:rsid w:val="00511F4B"/>
    <w:rsid w:val="0051372C"/>
    <w:rsid w:val="00521ED7"/>
    <w:rsid w:val="00526964"/>
    <w:rsid w:val="00532D5A"/>
    <w:rsid w:val="005354E4"/>
    <w:rsid w:val="00552729"/>
    <w:rsid w:val="005563CE"/>
    <w:rsid w:val="00561CA5"/>
    <w:rsid w:val="005663D6"/>
    <w:rsid w:val="00570701"/>
    <w:rsid w:val="0057414B"/>
    <w:rsid w:val="0057576E"/>
    <w:rsid w:val="0058367D"/>
    <w:rsid w:val="00586D66"/>
    <w:rsid w:val="0059269B"/>
    <w:rsid w:val="00595A36"/>
    <w:rsid w:val="005A0877"/>
    <w:rsid w:val="005A17EC"/>
    <w:rsid w:val="005A1A1D"/>
    <w:rsid w:val="005A485B"/>
    <w:rsid w:val="005A6276"/>
    <w:rsid w:val="005A6B7D"/>
    <w:rsid w:val="005B5550"/>
    <w:rsid w:val="005B65F0"/>
    <w:rsid w:val="005D2A14"/>
    <w:rsid w:val="005D36E9"/>
    <w:rsid w:val="005D75F6"/>
    <w:rsid w:val="005E0059"/>
    <w:rsid w:val="005E1BDA"/>
    <w:rsid w:val="005E1F65"/>
    <w:rsid w:val="005E261D"/>
    <w:rsid w:val="005E49A6"/>
    <w:rsid w:val="005E6D32"/>
    <w:rsid w:val="005F0DC8"/>
    <w:rsid w:val="005F6CE3"/>
    <w:rsid w:val="00600FA4"/>
    <w:rsid w:val="00605720"/>
    <w:rsid w:val="00611BDC"/>
    <w:rsid w:val="006177DC"/>
    <w:rsid w:val="00623BD2"/>
    <w:rsid w:val="00626265"/>
    <w:rsid w:val="006269F8"/>
    <w:rsid w:val="006401D9"/>
    <w:rsid w:val="00642EBC"/>
    <w:rsid w:val="00643B2E"/>
    <w:rsid w:val="00646AD1"/>
    <w:rsid w:val="006546AC"/>
    <w:rsid w:val="00657E13"/>
    <w:rsid w:val="00670053"/>
    <w:rsid w:val="00673E71"/>
    <w:rsid w:val="006823DB"/>
    <w:rsid w:val="00692309"/>
    <w:rsid w:val="00694DDB"/>
    <w:rsid w:val="006A1E31"/>
    <w:rsid w:val="006A390F"/>
    <w:rsid w:val="006A580A"/>
    <w:rsid w:val="006B34CD"/>
    <w:rsid w:val="006C528F"/>
    <w:rsid w:val="006C691E"/>
    <w:rsid w:val="006C6CA7"/>
    <w:rsid w:val="006D5267"/>
    <w:rsid w:val="006D59C3"/>
    <w:rsid w:val="006E4386"/>
    <w:rsid w:val="006E5310"/>
    <w:rsid w:val="006F0C81"/>
    <w:rsid w:val="006F5EED"/>
    <w:rsid w:val="006F7780"/>
    <w:rsid w:val="007116D0"/>
    <w:rsid w:val="00725CE5"/>
    <w:rsid w:val="0073019F"/>
    <w:rsid w:val="00732930"/>
    <w:rsid w:val="00734046"/>
    <w:rsid w:val="00735560"/>
    <w:rsid w:val="00736027"/>
    <w:rsid w:val="007370E0"/>
    <w:rsid w:val="00743CDD"/>
    <w:rsid w:val="007466B8"/>
    <w:rsid w:val="00751448"/>
    <w:rsid w:val="00751A09"/>
    <w:rsid w:val="0075383C"/>
    <w:rsid w:val="00754147"/>
    <w:rsid w:val="00756C08"/>
    <w:rsid w:val="00756D75"/>
    <w:rsid w:val="00760A58"/>
    <w:rsid w:val="00763073"/>
    <w:rsid w:val="0076560D"/>
    <w:rsid w:val="00767A99"/>
    <w:rsid w:val="00784D44"/>
    <w:rsid w:val="00793C8C"/>
    <w:rsid w:val="00793E7F"/>
    <w:rsid w:val="007940D2"/>
    <w:rsid w:val="00794B04"/>
    <w:rsid w:val="0079610B"/>
    <w:rsid w:val="00797739"/>
    <w:rsid w:val="007A5E60"/>
    <w:rsid w:val="007B0382"/>
    <w:rsid w:val="007B7CAA"/>
    <w:rsid w:val="007C28FF"/>
    <w:rsid w:val="007C5A7E"/>
    <w:rsid w:val="007C5AC5"/>
    <w:rsid w:val="007D26E7"/>
    <w:rsid w:val="007D46BC"/>
    <w:rsid w:val="007D58D1"/>
    <w:rsid w:val="007D68D7"/>
    <w:rsid w:val="007E17CF"/>
    <w:rsid w:val="007F026B"/>
    <w:rsid w:val="007F5A15"/>
    <w:rsid w:val="0080157D"/>
    <w:rsid w:val="00805021"/>
    <w:rsid w:val="00813788"/>
    <w:rsid w:val="0082227E"/>
    <w:rsid w:val="00822B10"/>
    <w:rsid w:val="00823F06"/>
    <w:rsid w:val="00832304"/>
    <w:rsid w:val="00832862"/>
    <w:rsid w:val="00832F6E"/>
    <w:rsid w:val="00832F80"/>
    <w:rsid w:val="00833452"/>
    <w:rsid w:val="00834CE8"/>
    <w:rsid w:val="0083551E"/>
    <w:rsid w:val="00845A89"/>
    <w:rsid w:val="00845F36"/>
    <w:rsid w:val="008527A7"/>
    <w:rsid w:val="00852DB0"/>
    <w:rsid w:val="00853603"/>
    <w:rsid w:val="008550E7"/>
    <w:rsid w:val="00856D92"/>
    <w:rsid w:val="00865714"/>
    <w:rsid w:val="00866267"/>
    <w:rsid w:val="008666C1"/>
    <w:rsid w:val="00866773"/>
    <w:rsid w:val="008706BC"/>
    <w:rsid w:val="00872CCF"/>
    <w:rsid w:val="00875C87"/>
    <w:rsid w:val="00890A44"/>
    <w:rsid w:val="00891DDA"/>
    <w:rsid w:val="00894724"/>
    <w:rsid w:val="008A09D1"/>
    <w:rsid w:val="008A37FE"/>
    <w:rsid w:val="008B5F0B"/>
    <w:rsid w:val="008B78AD"/>
    <w:rsid w:val="008C37F3"/>
    <w:rsid w:val="008C5BE5"/>
    <w:rsid w:val="008C7FED"/>
    <w:rsid w:val="008D00DA"/>
    <w:rsid w:val="008D352E"/>
    <w:rsid w:val="0090595F"/>
    <w:rsid w:val="0090670A"/>
    <w:rsid w:val="00906781"/>
    <w:rsid w:val="00911330"/>
    <w:rsid w:val="009211BA"/>
    <w:rsid w:val="00922838"/>
    <w:rsid w:val="009339E2"/>
    <w:rsid w:val="00942CCA"/>
    <w:rsid w:val="00945930"/>
    <w:rsid w:val="00947118"/>
    <w:rsid w:val="009529F5"/>
    <w:rsid w:val="009572C9"/>
    <w:rsid w:val="009607CA"/>
    <w:rsid w:val="0096088C"/>
    <w:rsid w:val="009728CB"/>
    <w:rsid w:val="00975273"/>
    <w:rsid w:val="009764E0"/>
    <w:rsid w:val="0098148B"/>
    <w:rsid w:val="00983F16"/>
    <w:rsid w:val="00984A71"/>
    <w:rsid w:val="00985B39"/>
    <w:rsid w:val="009866EC"/>
    <w:rsid w:val="0099382A"/>
    <w:rsid w:val="00994C12"/>
    <w:rsid w:val="009A3A67"/>
    <w:rsid w:val="009B56A3"/>
    <w:rsid w:val="009C238B"/>
    <w:rsid w:val="009D1070"/>
    <w:rsid w:val="009D2804"/>
    <w:rsid w:val="009D3350"/>
    <w:rsid w:val="009D66DD"/>
    <w:rsid w:val="009F0766"/>
    <w:rsid w:val="009F19B6"/>
    <w:rsid w:val="009F4B40"/>
    <w:rsid w:val="00A03853"/>
    <w:rsid w:val="00A11F99"/>
    <w:rsid w:val="00A156D9"/>
    <w:rsid w:val="00A243BC"/>
    <w:rsid w:val="00A276C9"/>
    <w:rsid w:val="00A27943"/>
    <w:rsid w:val="00A31D43"/>
    <w:rsid w:val="00A36061"/>
    <w:rsid w:val="00A402C6"/>
    <w:rsid w:val="00A5008B"/>
    <w:rsid w:val="00A65CD4"/>
    <w:rsid w:val="00A70F4C"/>
    <w:rsid w:val="00A736E3"/>
    <w:rsid w:val="00AA6478"/>
    <w:rsid w:val="00AA6A67"/>
    <w:rsid w:val="00AB2670"/>
    <w:rsid w:val="00AB2B0F"/>
    <w:rsid w:val="00AC096E"/>
    <w:rsid w:val="00AC5736"/>
    <w:rsid w:val="00AC69B7"/>
    <w:rsid w:val="00AC7691"/>
    <w:rsid w:val="00AD689E"/>
    <w:rsid w:val="00AD7D6F"/>
    <w:rsid w:val="00AE5A16"/>
    <w:rsid w:val="00AF0A71"/>
    <w:rsid w:val="00AF2833"/>
    <w:rsid w:val="00AF2A0E"/>
    <w:rsid w:val="00AF6EC6"/>
    <w:rsid w:val="00B03355"/>
    <w:rsid w:val="00B0469B"/>
    <w:rsid w:val="00B04BBA"/>
    <w:rsid w:val="00B127DF"/>
    <w:rsid w:val="00B14566"/>
    <w:rsid w:val="00B237EB"/>
    <w:rsid w:val="00B24D94"/>
    <w:rsid w:val="00B268E1"/>
    <w:rsid w:val="00B269D7"/>
    <w:rsid w:val="00B303C2"/>
    <w:rsid w:val="00B362C3"/>
    <w:rsid w:val="00B43F7F"/>
    <w:rsid w:val="00B50384"/>
    <w:rsid w:val="00B63A00"/>
    <w:rsid w:val="00B651CC"/>
    <w:rsid w:val="00B73F27"/>
    <w:rsid w:val="00B74C14"/>
    <w:rsid w:val="00B92BAD"/>
    <w:rsid w:val="00B9520A"/>
    <w:rsid w:val="00B969A3"/>
    <w:rsid w:val="00B979F5"/>
    <w:rsid w:val="00BA07A7"/>
    <w:rsid w:val="00BA3056"/>
    <w:rsid w:val="00BB47F3"/>
    <w:rsid w:val="00BC0513"/>
    <w:rsid w:val="00BC4DF5"/>
    <w:rsid w:val="00BD0ED0"/>
    <w:rsid w:val="00BE7259"/>
    <w:rsid w:val="00C10571"/>
    <w:rsid w:val="00C14B11"/>
    <w:rsid w:val="00C22C2B"/>
    <w:rsid w:val="00C24E7B"/>
    <w:rsid w:val="00C36E42"/>
    <w:rsid w:val="00C51DAF"/>
    <w:rsid w:val="00C52425"/>
    <w:rsid w:val="00C555AC"/>
    <w:rsid w:val="00C56CDE"/>
    <w:rsid w:val="00C5703D"/>
    <w:rsid w:val="00C5764E"/>
    <w:rsid w:val="00C64274"/>
    <w:rsid w:val="00C65487"/>
    <w:rsid w:val="00C65987"/>
    <w:rsid w:val="00C74F01"/>
    <w:rsid w:val="00C83D98"/>
    <w:rsid w:val="00C87EB0"/>
    <w:rsid w:val="00C9140D"/>
    <w:rsid w:val="00C92139"/>
    <w:rsid w:val="00C94906"/>
    <w:rsid w:val="00C96F76"/>
    <w:rsid w:val="00CA0830"/>
    <w:rsid w:val="00CA08E7"/>
    <w:rsid w:val="00CA0BB3"/>
    <w:rsid w:val="00CA21F2"/>
    <w:rsid w:val="00CB199D"/>
    <w:rsid w:val="00CB7617"/>
    <w:rsid w:val="00CC2CF9"/>
    <w:rsid w:val="00CC55CE"/>
    <w:rsid w:val="00CD125E"/>
    <w:rsid w:val="00CD3458"/>
    <w:rsid w:val="00CE7048"/>
    <w:rsid w:val="00CF0ED4"/>
    <w:rsid w:val="00CF10A0"/>
    <w:rsid w:val="00D043A5"/>
    <w:rsid w:val="00D06294"/>
    <w:rsid w:val="00D16C9A"/>
    <w:rsid w:val="00D170C8"/>
    <w:rsid w:val="00D20CA5"/>
    <w:rsid w:val="00D216D4"/>
    <w:rsid w:val="00D22F7F"/>
    <w:rsid w:val="00D23039"/>
    <w:rsid w:val="00D27104"/>
    <w:rsid w:val="00D349E7"/>
    <w:rsid w:val="00D35DA8"/>
    <w:rsid w:val="00D41A51"/>
    <w:rsid w:val="00D4719D"/>
    <w:rsid w:val="00D47863"/>
    <w:rsid w:val="00D51301"/>
    <w:rsid w:val="00D619CB"/>
    <w:rsid w:val="00D66E92"/>
    <w:rsid w:val="00D75966"/>
    <w:rsid w:val="00D76DA8"/>
    <w:rsid w:val="00D76EB9"/>
    <w:rsid w:val="00D97840"/>
    <w:rsid w:val="00DA00B2"/>
    <w:rsid w:val="00DA226B"/>
    <w:rsid w:val="00DB571E"/>
    <w:rsid w:val="00DC0F80"/>
    <w:rsid w:val="00DC1C67"/>
    <w:rsid w:val="00DD7D0E"/>
    <w:rsid w:val="00DD7F15"/>
    <w:rsid w:val="00DF02D4"/>
    <w:rsid w:val="00DF2AD8"/>
    <w:rsid w:val="00DF7FCB"/>
    <w:rsid w:val="00E066BD"/>
    <w:rsid w:val="00E1736F"/>
    <w:rsid w:val="00E17FF5"/>
    <w:rsid w:val="00E23F97"/>
    <w:rsid w:val="00E26009"/>
    <w:rsid w:val="00E3162A"/>
    <w:rsid w:val="00E37C85"/>
    <w:rsid w:val="00E407C9"/>
    <w:rsid w:val="00E46BD6"/>
    <w:rsid w:val="00E5280E"/>
    <w:rsid w:val="00E5401A"/>
    <w:rsid w:val="00E55EDB"/>
    <w:rsid w:val="00E56172"/>
    <w:rsid w:val="00E60002"/>
    <w:rsid w:val="00E63C4E"/>
    <w:rsid w:val="00E730DF"/>
    <w:rsid w:val="00E732FC"/>
    <w:rsid w:val="00E74D76"/>
    <w:rsid w:val="00E754A7"/>
    <w:rsid w:val="00E81909"/>
    <w:rsid w:val="00E83D4E"/>
    <w:rsid w:val="00E84A18"/>
    <w:rsid w:val="00E84C25"/>
    <w:rsid w:val="00E84FF9"/>
    <w:rsid w:val="00E90C1A"/>
    <w:rsid w:val="00E93BC2"/>
    <w:rsid w:val="00EA7020"/>
    <w:rsid w:val="00EB2FD4"/>
    <w:rsid w:val="00EB7300"/>
    <w:rsid w:val="00EC5664"/>
    <w:rsid w:val="00EC56A7"/>
    <w:rsid w:val="00EE0CE1"/>
    <w:rsid w:val="00EE1078"/>
    <w:rsid w:val="00EF79B0"/>
    <w:rsid w:val="00F024DB"/>
    <w:rsid w:val="00F143B1"/>
    <w:rsid w:val="00F1451E"/>
    <w:rsid w:val="00F23CF0"/>
    <w:rsid w:val="00F32119"/>
    <w:rsid w:val="00F3777D"/>
    <w:rsid w:val="00F45942"/>
    <w:rsid w:val="00F45AE1"/>
    <w:rsid w:val="00F5192E"/>
    <w:rsid w:val="00F53F01"/>
    <w:rsid w:val="00F57D63"/>
    <w:rsid w:val="00F640B5"/>
    <w:rsid w:val="00F67176"/>
    <w:rsid w:val="00F711B9"/>
    <w:rsid w:val="00F7563C"/>
    <w:rsid w:val="00F765BA"/>
    <w:rsid w:val="00F81F40"/>
    <w:rsid w:val="00F90DFB"/>
    <w:rsid w:val="00F91089"/>
    <w:rsid w:val="00F94DE6"/>
    <w:rsid w:val="00FA33E4"/>
    <w:rsid w:val="00FB0D99"/>
    <w:rsid w:val="00FB237A"/>
    <w:rsid w:val="00FB27A0"/>
    <w:rsid w:val="00FB523A"/>
    <w:rsid w:val="00FB5471"/>
    <w:rsid w:val="00FB606D"/>
    <w:rsid w:val="00FC1058"/>
    <w:rsid w:val="00FC18D8"/>
    <w:rsid w:val="00FC7BB3"/>
    <w:rsid w:val="00FC7D4F"/>
    <w:rsid w:val="00FD0CCE"/>
    <w:rsid w:val="00FE48C9"/>
    <w:rsid w:val="00FE69B2"/>
    <w:rsid w:val="00FF48B9"/>
    <w:rsid w:val="00FF49EB"/>
    <w:rsid w:val="01680748"/>
    <w:rsid w:val="01A3073B"/>
    <w:rsid w:val="01FB06A5"/>
    <w:rsid w:val="02883661"/>
    <w:rsid w:val="033A18A1"/>
    <w:rsid w:val="04A9605B"/>
    <w:rsid w:val="06264A4A"/>
    <w:rsid w:val="063B5B78"/>
    <w:rsid w:val="078A03D3"/>
    <w:rsid w:val="07CA76CE"/>
    <w:rsid w:val="07FC0BA5"/>
    <w:rsid w:val="085B0DBB"/>
    <w:rsid w:val="08E33793"/>
    <w:rsid w:val="09434D9D"/>
    <w:rsid w:val="09B554AF"/>
    <w:rsid w:val="09F92B1D"/>
    <w:rsid w:val="0A694752"/>
    <w:rsid w:val="0AD10D6A"/>
    <w:rsid w:val="0B5E36D3"/>
    <w:rsid w:val="0BB30987"/>
    <w:rsid w:val="0C76193E"/>
    <w:rsid w:val="0DCA1AB9"/>
    <w:rsid w:val="0DF07EE3"/>
    <w:rsid w:val="0E643518"/>
    <w:rsid w:val="0F102792"/>
    <w:rsid w:val="0F8B118C"/>
    <w:rsid w:val="10344DD0"/>
    <w:rsid w:val="10633DCE"/>
    <w:rsid w:val="107B4D5D"/>
    <w:rsid w:val="10DD4EBB"/>
    <w:rsid w:val="12AE0195"/>
    <w:rsid w:val="130A103D"/>
    <w:rsid w:val="13985B17"/>
    <w:rsid w:val="14CB5B87"/>
    <w:rsid w:val="152F6116"/>
    <w:rsid w:val="155C3CBE"/>
    <w:rsid w:val="15F93F79"/>
    <w:rsid w:val="162B62D2"/>
    <w:rsid w:val="16693DC2"/>
    <w:rsid w:val="16AD7FB9"/>
    <w:rsid w:val="17EDC74B"/>
    <w:rsid w:val="183F1493"/>
    <w:rsid w:val="18FC4FBA"/>
    <w:rsid w:val="190768CF"/>
    <w:rsid w:val="19AF3334"/>
    <w:rsid w:val="19F5075E"/>
    <w:rsid w:val="1AAB4A91"/>
    <w:rsid w:val="1B0E4ACA"/>
    <w:rsid w:val="1B8B48E8"/>
    <w:rsid w:val="1C3E3265"/>
    <w:rsid w:val="1C8659B7"/>
    <w:rsid w:val="1C9808FD"/>
    <w:rsid w:val="1D2422E4"/>
    <w:rsid w:val="1D934311"/>
    <w:rsid w:val="1DB6582E"/>
    <w:rsid w:val="1F096FB1"/>
    <w:rsid w:val="1F533349"/>
    <w:rsid w:val="1F71BC3C"/>
    <w:rsid w:val="20BD1F44"/>
    <w:rsid w:val="214135A7"/>
    <w:rsid w:val="21BF009D"/>
    <w:rsid w:val="22873147"/>
    <w:rsid w:val="229233C9"/>
    <w:rsid w:val="22B90D41"/>
    <w:rsid w:val="23737E65"/>
    <w:rsid w:val="23DA218B"/>
    <w:rsid w:val="252F365E"/>
    <w:rsid w:val="25FE291E"/>
    <w:rsid w:val="263611B5"/>
    <w:rsid w:val="27143262"/>
    <w:rsid w:val="288F7729"/>
    <w:rsid w:val="29F90ABD"/>
    <w:rsid w:val="2A0D1A99"/>
    <w:rsid w:val="2A213392"/>
    <w:rsid w:val="2A5700B2"/>
    <w:rsid w:val="2AC96FF6"/>
    <w:rsid w:val="2B5E7BEB"/>
    <w:rsid w:val="2C9F3729"/>
    <w:rsid w:val="2CDA604D"/>
    <w:rsid w:val="2D441354"/>
    <w:rsid w:val="2D5304A2"/>
    <w:rsid w:val="2D68079A"/>
    <w:rsid w:val="2DF700D9"/>
    <w:rsid w:val="2E4550FC"/>
    <w:rsid w:val="2E514683"/>
    <w:rsid w:val="2EBACCEC"/>
    <w:rsid w:val="2EBD433B"/>
    <w:rsid w:val="2F276578"/>
    <w:rsid w:val="2FF62EC1"/>
    <w:rsid w:val="2FFC7DCE"/>
    <w:rsid w:val="32C1444F"/>
    <w:rsid w:val="33072028"/>
    <w:rsid w:val="34671B17"/>
    <w:rsid w:val="368F078E"/>
    <w:rsid w:val="374F01EB"/>
    <w:rsid w:val="376213FE"/>
    <w:rsid w:val="376D011C"/>
    <w:rsid w:val="38891DB8"/>
    <w:rsid w:val="38A16843"/>
    <w:rsid w:val="398E6CC1"/>
    <w:rsid w:val="398F5D75"/>
    <w:rsid w:val="399125CB"/>
    <w:rsid w:val="39A91FD3"/>
    <w:rsid w:val="3ABA7D5B"/>
    <w:rsid w:val="3C4F4F38"/>
    <w:rsid w:val="3C9F6A2C"/>
    <w:rsid w:val="3CA5540E"/>
    <w:rsid w:val="3CE416AE"/>
    <w:rsid w:val="3D4E0105"/>
    <w:rsid w:val="3D6764E5"/>
    <w:rsid w:val="3E82529D"/>
    <w:rsid w:val="3EAD0C0C"/>
    <w:rsid w:val="3F7FF403"/>
    <w:rsid w:val="41F15E70"/>
    <w:rsid w:val="42BF5395"/>
    <w:rsid w:val="436C4015"/>
    <w:rsid w:val="43772DF4"/>
    <w:rsid w:val="43C35D22"/>
    <w:rsid w:val="43D025F5"/>
    <w:rsid w:val="441A20EA"/>
    <w:rsid w:val="443469F5"/>
    <w:rsid w:val="44FD328B"/>
    <w:rsid w:val="462F56C6"/>
    <w:rsid w:val="472E36B4"/>
    <w:rsid w:val="47F15329"/>
    <w:rsid w:val="48B76D8F"/>
    <w:rsid w:val="49DD2383"/>
    <w:rsid w:val="4C1F3EFD"/>
    <w:rsid w:val="4CA639F1"/>
    <w:rsid w:val="4CE34B9C"/>
    <w:rsid w:val="4D38031C"/>
    <w:rsid w:val="4EAD471B"/>
    <w:rsid w:val="50EF43CF"/>
    <w:rsid w:val="535E0F14"/>
    <w:rsid w:val="53D31D87"/>
    <w:rsid w:val="557E53F1"/>
    <w:rsid w:val="56226E9B"/>
    <w:rsid w:val="56D714C5"/>
    <w:rsid w:val="57E61A10"/>
    <w:rsid w:val="57FF4FBB"/>
    <w:rsid w:val="58D36AC3"/>
    <w:rsid w:val="58DE7204"/>
    <w:rsid w:val="594E097A"/>
    <w:rsid w:val="598310D4"/>
    <w:rsid w:val="59F65C7E"/>
    <w:rsid w:val="5ACC4005"/>
    <w:rsid w:val="5B64133E"/>
    <w:rsid w:val="5B9A4CA7"/>
    <w:rsid w:val="5BE661BF"/>
    <w:rsid w:val="5CB33954"/>
    <w:rsid w:val="5D7A3760"/>
    <w:rsid w:val="5F2D2C93"/>
    <w:rsid w:val="5FBF5A6B"/>
    <w:rsid w:val="5FC23025"/>
    <w:rsid w:val="6098413C"/>
    <w:rsid w:val="60E63616"/>
    <w:rsid w:val="60FB2C8B"/>
    <w:rsid w:val="61907CF7"/>
    <w:rsid w:val="61C548D6"/>
    <w:rsid w:val="63123A52"/>
    <w:rsid w:val="631877B6"/>
    <w:rsid w:val="63441F36"/>
    <w:rsid w:val="641941AB"/>
    <w:rsid w:val="649E0E16"/>
    <w:rsid w:val="64C701D0"/>
    <w:rsid w:val="65501489"/>
    <w:rsid w:val="65683634"/>
    <w:rsid w:val="657E0B48"/>
    <w:rsid w:val="66264D37"/>
    <w:rsid w:val="662B15AE"/>
    <w:rsid w:val="67FA3CBD"/>
    <w:rsid w:val="67FF5FF1"/>
    <w:rsid w:val="686F3A8E"/>
    <w:rsid w:val="688D6DBF"/>
    <w:rsid w:val="691B00F9"/>
    <w:rsid w:val="69BE70C4"/>
    <w:rsid w:val="69F831FA"/>
    <w:rsid w:val="6A2A1384"/>
    <w:rsid w:val="6AFEE48C"/>
    <w:rsid w:val="6B5E0AAF"/>
    <w:rsid w:val="6BD31768"/>
    <w:rsid w:val="6D103417"/>
    <w:rsid w:val="6D342528"/>
    <w:rsid w:val="6D73A7A8"/>
    <w:rsid w:val="6DED540B"/>
    <w:rsid w:val="6EC205F2"/>
    <w:rsid w:val="717383BB"/>
    <w:rsid w:val="717C63B6"/>
    <w:rsid w:val="71EA46D2"/>
    <w:rsid w:val="72556080"/>
    <w:rsid w:val="72FB5971"/>
    <w:rsid w:val="731F3CDF"/>
    <w:rsid w:val="7367CFA8"/>
    <w:rsid w:val="7368470D"/>
    <w:rsid w:val="73762533"/>
    <w:rsid w:val="73F6855F"/>
    <w:rsid w:val="743E50DD"/>
    <w:rsid w:val="74507E06"/>
    <w:rsid w:val="74FB6D7E"/>
    <w:rsid w:val="74FC1995"/>
    <w:rsid w:val="74FD2CB8"/>
    <w:rsid w:val="75ED062E"/>
    <w:rsid w:val="75FF44DB"/>
    <w:rsid w:val="76413F68"/>
    <w:rsid w:val="765C6DB5"/>
    <w:rsid w:val="76B529FB"/>
    <w:rsid w:val="77210E87"/>
    <w:rsid w:val="77B1FF77"/>
    <w:rsid w:val="77FD9F4D"/>
    <w:rsid w:val="785A2E96"/>
    <w:rsid w:val="797F503F"/>
    <w:rsid w:val="799A7C87"/>
    <w:rsid w:val="7A2A0ED3"/>
    <w:rsid w:val="7A6B49A6"/>
    <w:rsid w:val="7AC35E02"/>
    <w:rsid w:val="7AD16771"/>
    <w:rsid w:val="7B116B6D"/>
    <w:rsid w:val="7B5615BC"/>
    <w:rsid w:val="7B7FB31D"/>
    <w:rsid w:val="7B973D59"/>
    <w:rsid w:val="7BAE59D5"/>
    <w:rsid w:val="7BEC7AA8"/>
    <w:rsid w:val="7BFD26D4"/>
    <w:rsid w:val="7BFE8EC0"/>
    <w:rsid w:val="7DA61B5B"/>
    <w:rsid w:val="7DF77DD2"/>
    <w:rsid w:val="7DFFA53F"/>
    <w:rsid w:val="7F2FE11E"/>
    <w:rsid w:val="7F5F1F28"/>
    <w:rsid w:val="7F6E0A32"/>
    <w:rsid w:val="7F7BA24F"/>
    <w:rsid w:val="7FAB99E8"/>
    <w:rsid w:val="7FB746D5"/>
    <w:rsid w:val="7FDE543C"/>
    <w:rsid w:val="9FDFE35B"/>
    <w:rsid w:val="AFFAF8E5"/>
    <w:rsid w:val="B8F7F9A2"/>
    <w:rsid w:val="BFE91347"/>
    <w:rsid w:val="CBDF8A08"/>
    <w:rsid w:val="DB7451F2"/>
    <w:rsid w:val="DC9FCBEB"/>
    <w:rsid w:val="E9D78A37"/>
    <w:rsid w:val="EBCD529C"/>
    <w:rsid w:val="EBDFC38F"/>
    <w:rsid w:val="EBE7CAE1"/>
    <w:rsid w:val="EE7BAC7D"/>
    <w:rsid w:val="F2EFD742"/>
    <w:rsid w:val="F3DECE3F"/>
    <w:rsid w:val="F77B9D5A"/>
    <w:rsid w:val="F78CA074"/>
    <w:rsid w:val="F7DED60E"/>
    <w:rsid w:val="F86E6AB1"/>
    <w:rsid w:val="F9EAE13C"/>
    <w:rsid w:val="FAFD401C"/>
    <w:rsid w:val="FB6B9550"/>
    <w:rsid w:val="FB735437"/>
    <w:rsid w:val="FBFF0F16"/>
    <w:rsid w:val="FD7E2DDA"/>
    <w:rsid w:val="FDEF3302"/>
    <w:rsid w:val="FDF7D648"/>
    <w:rsid w:val="FE4DE1B6"/>
    <w:rsid w:val="FE5391AB"/>
    <w:rsid w:val="FFADF011"/>
    <w:rsid w:val="FFE15F73"/>
    <w:rsid w:val="FFF26CD7"/>
    <w:rsid w:val="FFFB041A"/>
    <w:rsid w:val="FFFF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8">
    <w:name w:val="Default Paragraph Font"/>
    <w:semiHidden/>
    <w:unhideWhenUsed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29"/>
    <w:semiHidden/>
    <w:unhideWhenUsed/>
    <w:qFormat/>
    <w:uiPriority w:val="99"/>
    <w:pPr>
      <w:widowControl/>
      <w:jc w:val="left"/>
    </w:pPr>
  </w:style>
  <w:style w:type="paragraph" w:styleId="5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asciiTheme="minorHAnsi" w:hAnsiTheme="minorHAnsi" w:eastAsiaTheme="minorEastAsia"/>
      <w:kern w:val="0"/>
      <w:sz w:val="22"/>
      <w:szCs w:val="22"/>
    </w:rPr>
  </w:style>
  <w:style w:type="paragraph" w:styleId="6">
    <w:name w:val="Plain Text"/>
    <w:basedOn w:val="1"/>
    <w:link w:val="30"/>
    <w:qFormat/>
    <w:uiPriority w:val="0"/>
    <w:pPr>
      <w:spacing w:line="360" w:lineRule="auto"/>
      <w:ind w:firstLine="480" w:firstLineChars="200"/>
    </w:pPr>
    <w:rPr>
      <w:rFonts w:ascii="仿宋_GB2312"/>
      <w:sz w:val="24"/>
    </w:rPr>
  </w:style>
  <w:style w:type="paragraph" w:styleId="7">
    <w:name w:val="Body Text Indent 2"/>
    <w:basedOn w:val="1"/>
    <w:link w:val="33"/>
    <w:qFormat/>
    <w:uiPriority w:val="0"/>
    <w:pPr>
      <w:widowControl/>
      <w:ind w:firstLine="562" w:firstLineChars="200"/>
      <w:jc w:val="left"/>
    </w:pPr>
    <w:rPr>
      <w:b/>
      <w:bCs/>
      <w:sz w:val="28"/>
      <w:szCs w:val="24"/>
    </w:rPr>
  </w:style>
  <w:style w:type="paragraph" w:styleId="8">
    <w:name w:val="Balloon Text"/>
    <w:basedOn w:val="1"/>
    <w:link w:val="28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5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hAnsi="宋体" w:eastAsia="仿宋_GB2312"/>
      <w:b/>
      <w:bCs/>
      <w:kern w:val="0"/>
      <w:sz w:val="32"/>
      <w:szCs w:val="32"/>
    </w:rPr>
  </w:style>
  <w:style w:type="paragraph" w:styleId="12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3">
    <w:name w:val="Normal (Web)"/>
    <w:basedOn w:val="1"/>
    <w:semiHidden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14">
    <w:name w:val="Title"/>
    <w:basedOn w:val="1"/>
    <w:next w:val="1"/>
    <w:link w:val="34"/>
    <w:qFormat/>
    <w:uiPriority w:val="0"/>
    <w:pPr>
      <w:widowControl/>
      <w:spacing w:before="240" w:after="60"/>
      <w:jc w:val="center"/>
      <w:outlineLvl w:val="0"/>
    </w:pPr>
    <w:rPr>
      <w:rFonts w:ascii="Cambria" w:hAnsi="Cambria" w:eastAsia="黑体"/>
      <w:b/>
      <w:bCs/>
      <w:sz w:val="52"/>
      <w:szCs w:val="32"/>
    </w:rPr>
  </w:style>
  <w:style w:type="paragraph" w:styleId="15">
    <w:name w:val="annotation subject"/>
    <w:basedOn w:val="4"/>
    <w:next w:val="4"/>
    <w:link w:val="35"/>
    <w:semiHidden/>
    <w:unhideWhenUsed/>
    <w:qFormat/>
    <w:uiPriority w:val="99"/>
    <w:rPr>
      <w:b/>
      <w:bCs/>
    </w:rPr>
  </w:style>
  <w:style w:type="table" w:styleId="17">
    <w:name w:val="Table Grid"/>
    <w:basedOn w:val="1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Strong"/>
    <w:basedOn w:val="18"/>
    <w:qFormat/>
    <w:uiPriority w:val="0"/>
    <w:rPr>
      <w:b/>
      <w:bCs/>
    </w:rPr>
  </w:style>
  <w:style w:type="character" w:styleId="20">
    <w:name w:val="page number"/>
    <w:basedOn w:val="18"/>
    <w:qFormat/>
    <w:uiPriority w:val="0"/>
  </w:style>
  <w:style w:type="character" w:styleId="21">
    <w:name w:val="Hyperlink"/>
    <w:qFormat/>
    <w:uiPriority w:val="99"/>
    <w:rPr>
      <w:color w:val="0000FF"/>
      <w:u w:val="single"/>
    </w:rPr>
  </w:style>
  <w:style w:type="character" w:styleId="22">
    <w:name w:val="annotation reference"/>
    <w:basedOn w:val="18"/>
    <w:semiHidden/>
    <w:unhideWhenUsed/>
    <w:qFormat/>
    <w:uiPriority w:val="99"/>
    <w:rPr>
      <w:sz w:val="21"/>
      <w:szCs w:val="21"/>
    </w:rPr>
  </w:style>
  <w:style w:type="character" w:customStyle="1" w:styleId="23">
    <w:name w:val="标题 1 字符"/>
    <w:basedOn w:val="18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4">
    <w:name w:val="标题 2 字符"/>
    <w:basedOn w:val="18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5">
    <w:name w:val="页眉 字符"/>
    <w:basedOn w:val="18"/>
    <w:link w:val="10"/>
    <w:qFormat/>
    <w:uiPriority w:val="0"/>
    <w:rPr>
      <w:sz w:val="18"/>
      <w:szCs w:val="18"/>
    </w:rPr>
  </w:style>
  <w:style w:type="character" w:customStyle="1" w:styleId="26">
    <w:name w:val="页脚 字符"/>
    <w:basedOn w:val="18"/>
    <w:link w:val="9"/>
    <w:qFormat/>
    <w:uiPriority w:val="99"/>
    <w:rPr>
      <w:sz w:val="18"/>
      <w:szCs w:val="18"/>
    </w:rPr>
  </w:style>
  <w:style w:type="paragraph" w:customStyle="1" w:styleId="27">
    <w:name w:val="样式1"/>
    <w:basedOn w:val="1"/>
    <w:qFormat/>
    <w:uiPriority w:val="0"/>
    <w:pPr>
      <w:spacing w:line="600" w:lineRule="exact"/>
      <w:ind w:firstLine="200" w:firstLineChars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28">
    <w:name w:val="批注框文本 字符"/>
    <w:basedOn w:val="18"/>
    <w:link w:val="8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9">
    <w:name w:val="批注文字 字符"/>
    <w:basedOn w:val="18"/>
    <w:link w:val="4"/>
    <w:semiHidden/>
    <w:qFormat/>
    <w:uiPriority w:val="99"/>
    <w:rPr>
      <w:rFonts w:ascii="Times New Roman" w:hAnsi="Times New Roman" w:eastAsia="宋体" w:cs="Times New Roman"/>
      <w:szCs w:val="20"/>
    </w:rPr>
  </w:style>
  <w:style w:type="character" w:customStyle="1" w:styleId="30">
    <w:name w:val="纯文本 字符"/>
    <w:basedOn w:val="18"/>
    <w:link w:val="6"/>
    <w:qFormat/>
    <w:uiPriority w:val="0"/>
    <w:rPr>
      <w:rFonts w:ascii="仿宋_GB2312" w:hAnsi="Times New Roman" w:eastAsia="宋体" w:cs="Times New Roman"/>
      <w:sz w:val="24"/>
      <w:szCs w:val="20"/>
    </w:rPr>
  </w:style>
  <w:style w:type="paragraph" w:customStyle="1" w:styleId="31">
    <w:name w:val="_Style 8"/>
    <w:basedOn w:val="1"/>
    <w:next w:val="1"/>
    <w:qFormat/>
    <w:uiPriority w:val="0"/>
    <w:pPr>
      <w:spacing w:line="360" w:lineRule="auto"/>
      <w:ind w:firstLine="480" w:firstLineChars="200"/>
    </w:pPr>
    <w:rPr>
      <w:rFonts w:ascii="仿宋_GB2312"/>
      <w:sz w:val="24"/>
    </w:rPr>
  </w:style>
  <w:style w:type="paragraph" w:styleId="32">
    <w:name w:val="List Paragraph"/>
    <w:basedOn w:val="1"/>
    <w:qFormat/>
    <w:uiPriority w:val="34"/>
    <w:pPr>
      <w:ind w:firstLine="420" w:firstLineChars="200"/>
    </w:pPr>
    <w:rPr>
      <w:rFonts w:ascii="仿宋_GB2312" w:eastAsia="仿宋_GB2312"/>
      <w:spacing w:val="-4"/>
      <w:sz w:val="32"/>
    </w:rPr>
  </w:style>
  <w:style w:type="character" w:customStyle="1" w:styleId="33">
    <w:name w:val="正文文本缩进 2 字符"/>
    <w:basedOn w:val="18"/>
    <w:link w:val="7"/>
    <w:qFormat/>
    <w:uiPriority w:val="0"/>
    <w:rPr>
      <w:rFonts w:ascii="Times New Roman" w:hAnsi="Times New Roman" w:eastAsia="宋体" w:cs="Times New Roman"/>
      <w:b/>
      <w:bCs/>
      <w:sz w:val="28"/>
      <w:szCs w:val="24"/>
    </w:rPr>
  </w:style>
  <w:style w:type="character" w:customStyle="1" w:styleId="34">
    <w:name w:val="标题 字符"/>
    <w:basedOn w:val="18"/>
    <w:link w:val="14"/>
    <w:qFormat/>
    <w:uiPriority w:val="0"/>
    <w:rPr>
      <w:rFonts w:ascii="Cambria" w:hAnsi="Cambria" w:eastAsia="黑体" w:cs="Times New Roman"/>
      <w:b/>
      <w:bCs/>
      <w:sz w:val="52"/>
      <w:szCs w:val="32"/>
    </w:rPr>
  </w:style>
  <w:style w:type="character" w:customStyle="1" w:styleId="35">
    <w:name w:val="批注主题 字符"/>
    <w:basedOn w:val="29"/>
    <w:link w:val="15"/>
    <w:semiHidden/>
    <w:qFormat/>
    <w:uiPriority w:val="99"/>
    <w:rPr>
      <w:rFonts w:ascii="Times New Roman" w:hAnsi="Times New Roman" w:eastAsia="宋体" w:cs="Times New Roman"/>
      <w:b/>
      <w:bCs/>
      <w:szCs w:val="20"/>
    </w:rPr>
  </w:style>
  <w:style w:type="character" w:customStyle="1" w:styleId="36">
    <w:name w:val="title1"/>
    <w:qFormat/>
    <w:uiPriority w:val="0"/>
    <w:rPr>
      <w:b/>
      <w:bCs/>
      <w:color w:val="999900"/>
      <w:sz w:val="24"/>
      <w:szCs w:val="24"/>
    </w:rPr>
  </w:style>
  <w:style w:type="paragraph" w:customStyle="1" w:styleId="37">
    <w:name w:val="TOC 标题1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paragraph" w:customStyle="1" w:styleId="38">
    <w:name w:val="Revision"/>
    <w:hidden/>
    <w:unhideWhenUsed/>
    <w:qFormat/>
    <w:uiPriority w:val="99"/>
    <w:pPr>
      <w:spacing w:after="0" w:line="240" w:lineRule="auto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header" Target="header3.xml"/><Relationship Id="rId7" Type="http://schemas.openxmlformats.org/officeDocument/2006/relationships/header" Target="header2.xml"/><Relationship Id="rId6" Type="http://schemas.openxmlformats.org/officeDocument/2006/relationships/header" Target="header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1580</Words>
  <Characters>3175</Characters>
  <Lines>247</Lines>
  <Paragraphs>137</Paragraphs>
  <TotalTime>101</TotalTime>
  <ScaleCrop>false</ScaleCrop>
  <LinksUpToDate>false</LinksUpToDate>
  <CharactersWithSpaces>3537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2025-09-10T01:09:00Z</dcterms:created>
  <dc:creator>胡胜链</dc:creator>
  <cp:lastModifiedBy>葛格</cp:lastModifiedBy>
  <cp:lastPrinted>2022-01-28T09:53:00Z</cp:lastPrinted>
  <dcterms:modified xsi:type="dcterms:W3CDTF">2025-09-18T01:21:14Z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AE0D1898D9ED4AA39AFEEB25FA60C7B9_13</vt:lpwstr>
  </property>
</Properties>
</file>