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21F4BD">
      <w:pPr>
        <w:jc w:val="center"/>
        <w:rPr>
          <w:rStyle w:val="36"/>
          <w:rFonts w:eastAsia="方正小标宋简体"/>
          <w:bCs w:val="0"/>
          <w:color w:val="auto"/>
          <w:sz w:val="36"/>
          <w:szCs w:val="36"/>
        </w:rPr>
      </w:pPr>
      <w:bookmarkStart w:id="1" w:name="_GoBack"/>
      <w:bookmarkEnd w:id="1"/>
      <w:r>
        <w:rPr>
          <w:rStyle w:val="36"/>
          <w:rFonts w:eastAsia="方正小标宋简体"/>
          <w:b w:val="0"/>
          <w:color w:val="auto"/>
          <w:sz w:val="36"/>
          <w:szCs w:val="36"/>
        </w:rPr>
        <w:t>浙江省科学技术奖公示信息表</w:t>
      </w:r>
      <w:r>
        <w:rPr>
          <w:rStyle w:val="36"/>
          <w:rFonts w:eastAsia="仿宋_GB2312"/>
          <w:b w:val="0"/>
          <w:color w:val="auto"/>
          <w:sz w:val="32"/>
          <w:szCs w:val="32"/>
        </w:rPr>
        <w:t>（单位提名）</w:t>
      </w:r>
    </w:p>
    <w:p w14:paraId="20B6D97E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提名奖项：自然科学奖</w:t>
      </w:r>
    </w:p>
    <w:tbl>
      <w:tblPr>
        <w:tblStyle w:val="16"/>
        <w:tblW w:w="8506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9"/>
        <w:gridCol w:w="6237"/>
      </w:tblGrid>
      <w:tr w14:paraId="31E8E6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2269" w:type="dxa"/>
            <w:vAlign w:val="center"/>
          </w:tcPr>
          <w:p w14:paraId="21C280A8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6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237" w:type="dxa"/>
            <w:vAlign w:val="center"/>
          </w:tcPr>
          <w:p w14:paraId="3DCE6441">
            <w:pPr>
              <w:jc w:val="center"/>
              <w:rPr>
                <w:rStyle w:val="36"/>
                <w:rFonts w:eastAsia="仿宋_GB2312"/>
                <w:b w:val="0"/>
                <w:color w:val="auto"/>
              </w:rPr>
            </w:pPr>
            <w:r>
              <w:rPr>
                <w:rStyle w:val="36"/>
                <w:rFonts w:hint="eastAsia" w:eastAsia="仿宋_GB2312"/>
                <w:b w:val="0"/>
                <w:color w:val="auto"/>
              </w:rPr>
              <w:t>泛素-拟素化调控肿瘤生长和</w:t>
            </w:r>
            <w:r>
              <w:rPr>
                <w:rStyle w:val="36"/>
                <w:rFonts w:hint="eastAsia" w:ascii="仿宋" w:hAnsi="仿宋" w:eastAsia="仿宋" w:cs="微软雅黑"/>
                <w:b w:val="0"/>
                <w:color w:val="auto"/>
              </w:rPr>
              <w:t>免疫</w:t>
            </w:r>
            <w:r>
              <w:rPr>
                <w:rStyle w:val="36"/>
                <w:rFonts w:hint="eastAsia" w:ascii="仿宋" w:hAnsi="仿宋" w:eastAsia="仿宋" w:cs="___WRD_EMBED_SUB_42"/>
                <w:b w:val="0"/>
                <w:color w:val="auto"/>
              </w:rPr>
              <w:t>应</w:t>
            </w:r>
            <w:r>
              <w:rPr>
                <w:rStyle w:val="36"/>
                <w:rFonts w:hint="eastAsia" w:ascii="仿宋" w:hAnsi="仿宋" w:eastAsia="仿宋" w:cs="微软雅黑"/>
                <w:b w:val="0"/>
                <w:color w:val="auto"/>
              </w:rPr>
              <w:t>答</w:t>
            </w:r>
            <w:r>
              <w:rPr>
                <w:rStyle w:val="36"/>
                <w:rFonts w:hint="eastAsia" w:ascii="仿宋" w:hAnsi="仿宋" w:eastAsia="仿宋" w:cs="___WRD_EMBED_SUB_42"/>
                <w:b w:val="0"/>
                <w:color w:val="auto"/>
              </w:rPr>
              <w:t>及靶向药物研发</w:t>
            </w:r>
          </w:p>
        </w:tc>
      </w:tr>
      <w:tr w14:paraId="6B4F77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2269" w:type="dxa"/>
            <w:vAlign w:val="center"/>
          </w:tcPr>
          <w:p w14:paraId="4EDCFB7A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6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237" w:type="dxa"/>
            <w:vAlign w:val="center"/>
          </w:tcPr>
          <w:p w14:paraId="0EA85848">
            <w:pPr>
              <w:jc w:val="center"/>
              <w:rPr>
                <w:rStyle w:val="36"/>
                <w:rFonts w:eastAsia="仿宋_GB2312"/>
                <w:b w:val="0"/>
                <w:color w:val="auto"/>
              </w:rPr>
            </w:pPr>
            <w:r>
              <w:rPr>
                <w:rFonts w:hint="eastAsia" w:eastAsia="仿宋_GB2312"/>
                <w:sz w:val="24"/>
                <w:szCs w:val="24"/>
              </w:rPr>
              <w:t>一等奖</w:t>
            </w:r>
          </w:p>
        </w:tc>
      </w:tr>
      <w:tr w14:paraId="7F1BA8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1" w:hRule="atLeast"/>
        </w:trPr>
        <w:tc>
          <w:tcPr>
            <w:tcW w:w="2269" w:type="dxa"/>
            <w:vAlign w:val="center"/>
          </w:tcPr>
          <w:p w14:paraId="629FD6AD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14:paraId="28FB9CAA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6237" w:type="dxa"/>
            <w:vAlign w:val="center"/>
          </w:tcPr>
          <w:p w14:paraId="5F3493EC">
            <w:pPr>
              <w:spacing w:after="0" w:line="240" w:lineRule="auto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 w:val="24"/>
                <w:szCs w:val="21"/>
              </w:rPr>
              <w:t>见附件</w:t>
            </w:r>
          </w:p>
        </w:tc>
      </w:tr>
      <w:tr w14:paraId="10B0B7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8" w:hRule="atLeast"/>
        </w:trPr>
        <w:tc>
          <w:tcPr>
            <w:tcW w:w="2269" w:type="dxa"/>
            <w:tcBorders>
              <w:right w:val="single" w:color="auto" w:sz="4" w:space="0"/>
            </w:tcBorders>
            <w:vAlign w:val="center"/>
          </w:tcPr>
          <w:p w14:paraId="631AAE00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主要完成人</w:t>
            </w:r>
          </w:p>
        </w:tc>
        <w:tc>
          <w:tcPr>
            <w:tcW w:w="6237" w:type="dxa"/>
            <w:tcBorders>
              <w:left w:val="single" w:color="auto" w:sz="4" w:space="0"/>
            </w:tcBorders>
            <w:vAlign w:val="center"/>
          </w:tcPr>
          <w:p w14:paraId="11922F03">
            <w:pPr>
              <w:spacing w:line="440" w:lineRule="exact"/>
              <w:rPr>
                <w:rFonts w:hint="eastAsia" w:ascii="仿宋_GB2312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eastAsia="仿宋_GB2312"/>
                <w:bCs/>
                <w:sz w:val="24"/>
                <w:szCs w:val="24"/>
              </w:rPr>
              <w:t>孙毅，排名1，教授，</w:t>
            </w: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浙江大学医学院附属第二医院</w:t>
            </w:r>
            <w:r>
              <w:rPr>
                <w:rFonts w:hint="eastAsia" w:ascii="仿宋_GB2312" w:eastAsia="仿宋_GB2312"/>
                <w:bCs/>
                <w:sz w:val="24"/>
                <w:szCs w:val="24"/>
              </w:rPr>
              <w:t>；</w:t>
            </w:r>
          </w:p>
          <w:p w14:paraId="302246FB">
            <w:pPr>
              <w:spacing w:line="440" w:lineRule="exact"/>
              <w:rPr>
                <w:rFonts w:hint="eastAsia" w:ascii="仿宋_GB2312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eastAsia="仿宋_GB2312"/>
                <w:bCs/>
                <w:sz w:val="24"/>
                <w:szCs w:val="24"/>
              </w:rPr>
              <w:t>赵永超，排名2，研究员，浙江大学；</w:t>
            </w:r>
          </w:p>
          <w:p w14:paraId="17ED0CCC">
            <w:pPr>
              <w:spacing w:line="440" w:lineRule="exact"/>
              <w:rPr>
                <w:rFonts w:hint="eastAsia" w:ascii="仿宋_GB2312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eastAsia="仿宋_GB2312"/>
                <w:bCs/>
                <w:sz w:val="24"/>
                <w:szCs w:val="24"/>
              </w:rPr>
              <w:t>熊秀芳，排名3，副教授，浙江大学；</w:t>
            </w:r>
          </w:p>
          <w:p w14:paraId="7C10AF98">
            <w:pPr>
              <w:spacing w:line="440" w:lineRule="exact"/>
              <w:rPr>
                <w:rFonts w:hint="eastAsia" w:ascii="仿宋_GB2312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eastAsia="仿宋_GB2312"/>
                <w:bCs/>
                <w:sz w:val="24"/>
                <w:szCs w:val="24"/>
              </w:rPr>
              <w:t>章时珍，排名4，</w:t>
            </w: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主治医师</w:t>
            </w:r>
            <w:r>
              <w:rPr>
                <w:rFonts w:hint="eastAsia" w:ascii="仿宋_GB2312"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浙江大学医学院附属第二医院</w:t>
            </w:r>
            <w:r>
              <w:rPr>
                <w:rFonts w:hint="eastAsia" w:ascii="仿宋_GB2312" w:eastAsia="仿宋_GB2312"/>
                <w:bCs/>
                <w:sz w:val="24"/>
                <w:szCs w:val="24"/>
              </w:rPr>
              <w:t>；</w:t>
            </w:r>
          </w:p>
          <w:p w14:paraId="489ED726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eastAsia="仿宋_GB2312"/>
                <w:bCs/>
                <w:sz w:val="24"/>
                <w:szCs w:val="24"/>
              </w:rPr>
              <w:t>吴迪，排名5，</w:t>
            </w: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特聘研究员</w:t>
            </w:r>
            <w:r>
              <w:rPr>
                <w:rFonts w:hint="eastAsia" w:ascii="仿宋_GB2312"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浙江大学医学院附属第二医院</w:t>
            </w:r>
            <w:r>
              <w:rPr>
                <w:rFonts w:hint="eastAsia" w:ascii="仿宋_GB2312" w:eastAsia="仿宋_GB2312"/>
                <w:bCs/>
                <w:sz w:val="24"/>
                <w:szCs w:val="24"/>
              </w:rPr>
              <w:t>。</w:t>
            </w:r>
          </w:p>
        </w:tc>
      </w:tr>
      <w:tr w14:paraId="02AD81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6" w:hRule="atLeast"/>
        </w:trPr>
        <w:tc>
          <w:tcPr>
            <w:tcW w:w="2269" w:type="dxa"/>
            <w:tcBorders>
              <w:right w:val="single" w:color="auto" w:sz="4" w:space="0"/>
            </w:tcBorders>
            <w:vAlign w:val="center"/>
          </w:tcPr>
          <w:p w14:paraId="66853C20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t>主要完成单位</w:t>
            </w:r>
          </w:p>
        </w:tc>
        <w:tc>
          <w:tcPr>
            <w:tcW w:w="6237" w:type="dxa"/>
            <w:tcBorders>
              <w:left w:val="single" w:color="auto" w:sz="4" w:space="0"/>
            </w:tcBorders>
            <w:vAlign w:val="center"/>
          </w:tcPr>
          <w:p w14:paraId="791AA2F7">
            <w:pPr>
              <w:spacing w:line="440" w:lineRule="exact"/>
              <w:jc w:val="left"/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1. 浙江大学医学院附属第二医院</w:t>
            </w:r>
          </w:p>
          <w:p w14:paraId="2F80FE6E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2. 浙江大学</w:t>
            </w:r>
          </w:p>
        </w:tc>
      </w:tr>
      <w:tr w14:paraId="08EADE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2269" w:type="dxa"/>
            <w:vAlign w:val="center"/>
          </w:tcPr>
          <w:p w14:paraId="5550C668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6237" w:type="dxa"/>
            <w:vAlign w:val="center"/>
          </w:tcPr>
          <w:p w14:paraId="16D8741B">
            <w:pPr>
              <w:contextualSpacing/>
              <w:rPr>
                <w:rStyle w:val="36"/>
                <w:rFonts w:ascii="仿宋_GB2312" w:eastAsia="仿宋_GB2312"/>
                <w:b w:val="0"/>
                <w:color w:val="auto"/>
              </w:rPr>
            </w:pPr>
            <w:r>
              <w:rPr>
                <w:rStyle w:val="36"/>
                <w:rFonts w:hint="eastAsia" w:ascii="仿宋_GB2312" w:eastAsia="仿宋_GB2312"/>
                <w:b w:val="0"/>
                <w:color w:val="auto"/>
              </w:rPr>
              <w:t>浙江大学</w:t>
            </w:r>
          </w:p>
        </w:tc>
      </w:tr>
      <w:tr w14:paraId="790447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3" w:hRule="atLeast"/>
        </w:trPr>
        <w:tc>
          <w:tcPr>
            <w:tcW w:w="2269" w:type="dxa"/>
            <w:vAlign w:val="center"/>
          </w:tcPr>
          <w:p w14:paraId="356C0136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6237" w:type="dxa"/>
            <w:vAlign w:val="center"/>
          </w:tcPr>
          <w:p w14:paraId="0B7740F9">
            <w:pPr>
              <w:ind w:firstLine="480" w:firstLineChars="200"/>
              <w:rPr>
                <w:rStyle w:val="36"/>
                <w:rFonts w:ascii="仿宋" w:hAnsi="仿宋" w:eastAsia="仿宋"/>
                <w:b w:val="0"/>
                <w:bCs w:val="0"/>
                <w:color w:val="auto"/>
                <w:szCs w:val="20"/>
              </w:rPr>
            </w:pP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蛋白质稳态对细胞功能的正常发挥至关重要。申请人发现CRLs泛素连接酶</w:t>
            </w:r>
            <w:r>
              <w:rPr>
                <w:rFonts w:hint="eastAsia" w:ascii="仿宋" w:hAnsi="仿宋" w:eastAsia="仿宋" w:cs="Calibri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通过调控关键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蛋白稳态，</w:t>
            </w:r>
            <w:r>
              <w:rPr>
                <w:rFonts w:hint="eastAsia" w:ascii="仿宋" w:hAnsi="仿宋" w:eastAsia="仿宋" w:cs="Calibri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影响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肿瘤发生发展和放化疗抵抗。具体包括：CRL1/FBXW7</w:t>
            </w:r>
            <w:r>
              <w:rPr>
                <w:rFonts w:hint="eastAsia" w:ascii="仿宋" w:hAnsi="仿宋" w:eastAsia="仿宋" w:cs="Calibri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与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促癌蛋白LSD1</w:t>
            </w:r>
            <w:r>
              <w:rPr>
                <w:rFonts w:hint="eastAsia" w:ascii="仿宋" w:hAnsi="仿宋" w:eastAsia="仿宋" w:cs="微软雅黑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结合</w:t>
            </w:r>
            <w:r>
              <w:rPr>
                <w:rFonts w:hint="eastAsia" w:ascii="仿宋" w:hAnsi="仿宋" w:eastAsia="仿宋" w:cs="Calibri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而发生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自身泛素化降解，</w:t>
            </w:r>
            <w:r>
              <w:rPr>
                <w:rFonts w:hint="eastAsia" w:ascii="仿宋" w:hAnsi="仿宋" w:eastAsia="仿宋" w:cs="Calibri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促进肿瘤生长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；CRL1/β-TrCP家族成员间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存在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交叉调控，</w:t>
            </w:r>
            <w:r>
              <w:rPr>
                <w:rFonts w:hint="eastAsia" w:ascii="仿宋" w:hAnsi="仿宋" w:eastAsia="仿宋" w:cs="Calibri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影响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肿瘤细胞自噬和生长；CRL活性中心蛋白SAG和APC/C 泛素连接酶之间负向交叉调节，调控细胞周期进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程及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抗癌药物抵抗。</w:t>
            </w:r>
            <w:r>
              <w:rPr>
                <w:rFonts w:hint="eastAsia" w:ascii="仿宋" w:hAnsi="仿宋" w:eastAsia="仿宋" w:cs="Calibri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这些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研究</w:t>
            </w:r>
            <w:r>
              <w:rPr>
                <w:rFonts w:hint="eastAsia" w:ascii="仿宋" w:hAnsi="仿宋" w:eastAsia="仿宋" w:cs="Calibri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在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基础理论层面实现了CRLs在肿瘤机制研究中的重大突破，并鉴定出多个抗肿瘤新靶点。申请人</w:t>
            </w:r>
            <w:r>
              <w:rPr>
                <w:rFonts w:hint="eastAsia" w:ascii="仿宋" w:hAnsi="仿宋" w:eastAsia="仿宋" w:cs="Calibri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还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系统研究</w:t>
            </w:r>
            <w:r>
              <w:rPr>
                <w:rFonts w:hint="eastAsia" w:ascii="仿宋" w:hAnsi="仿宋" w:eastAsia="仿宋" w:cs="Calibri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了拟素化修饰调控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CRLs活性影响免疫功能和纤毛形成的作用和机制，拓展了拟素化小分子抑制剂MLN4924在自身免疫病和纤毛相关疾病中的临床应用潜力。在转化研究方面，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成功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开发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出</w:t>
            </w:r>
            <w:r>
              <w:rPr>
                <w:rFonts w:hint="eastAsia" w:ascii="仿宋" w:hAnsi="仿宋" w:eastAsia="仿宋" w:cs="微软雅黑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两类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靶向拟素化-CRLs原创靶点的抗肿瘤小分子化合物。申请人受Springer出版社邀请主编英文专著《Cullin-RING ligases and Protein Neddylation: Biology and Therapeutics》，并受邀在Signal Transduct Target Ther、Cell Research等多个权威期刊发表综述，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系统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阐述拟素化-CRLs在疾病中的作用及靶向药物研发进展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。此外，</w:t>
            </w:r>
            <w:r>
              <w:rPr>
                <w:rFonts w:ascii="仿宋" w:hAnsi="仿宋" w:eastAsia="仿宋"/>
                <w:sz w:val="24"/>
              </w:rPr>
              <w:t>申请人</w:t>
            </w:r>
            <w:r>
              <w:rPr>
                <w:rFonts w:hint="eastAsia" w:ascii="仿宋" w:hAnsi="仿宋" w:eastAsia="仿宋" w:cs="微软雅黑"/>
                <w:sz w:val="24"/>
              </w:rPr>
              <w:t>硕士期间以浙江医科大学为第一单位发表的研究论文已被他引</w:t>
            </w:r>
            <w:r>
              <w:rPr>
                <w:rFonts w:hint="eastAsia" w:ascii="仿宋" w:hAnsi="仿宋" w:eastAsia="仿宋"/>
                <w:sz w:val="24"/>
              </w:rPr>
              <w:t>3680次；</w:t>
            </w:r>
            <w:r>
              <w:rPr>
                <w:rFonts w:hint="eastAsia" w:ascii="仿宋" w:hAnsi="仿宋" w:eastAsia="仿宋" w:cs="微软雅黑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近年来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连续8年入选爱思唯尔中国高被引学者，连续5年入选美国斯坦福大学发布的“全球前2%顶尖科学家榜单”，同时入选“终身”及“年度”科学影响力排行榜，凸显了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其</w:t>
            </w:r>
            <w:r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在蛋白泛素化-拟素化领域的国际领军地位。因此，提名该成果为省自然科学奖一等奖。</w:t>
            </w:r>
          </w:p>
        </w:tc>
      </w:tr>
    </w:tbl>
    <w:p w14:paraId="3A45F310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p w14:paraId="21D88677">
      <w:pPr>
        <w:widowControl/>
        <w:jc w:val="lef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br w:type="page"/>
      </w:r>
    </w:p>
    <w:p w14:paraId="3BA9609B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  <w:sectPr>
          <w:headerReference r:id="rId7" w:type="first"/>
          <w:headerReference r:id="rId5" w:type="default"/>
          <w:footerReference r:id="rId8" w:type="default"/>
          <w:headerReference r:id="rId6" w:type="even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8DF06BD">
      <w:pPr>
        <w:jc w:val="center"/>
        <w:rPr>
          <w:rFonts w:eastAsia="方正黑体简体"/>
          <w:sz w:val="32"/>
          <w:szCs w:val="22"/>
        </w:rPr>
      </w:pPr>
      <w:bookmarkStart w:id="0" w:name="XM_SOSIETY"/>
      <w:bookmarkEnd w:id="0"/>
      <w:r>
        <w:rPr>
          <w:rFonts w:eastAsia="方正黑体简体"/>
          <w:sz w:val="32"/>
          <w:szCs w:val="22"/>
        </w:rPr>
        <w:t>六、代表性论文专著目录（不超过8篇）</w:t>
      </w:r>
    </w:p>
    <w:tbl>
      <w:tblPr>
        <w:tblStyle w:val="16"/>
        <w:tblW w:w="14144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8"/>
        <w:gridCol w:w="4536"/>
        <w:gridCol w:w="2347"/>
        <w:gridCol w:w="1243"/>
        <w:gridCol w:w="1050"/>
        <w:gridCol w:w="1222"/>
        <w:gridCol w:w="1264"/>
        <w:gridCol w:w="923"/>
        <w:gridCol w:w="921"/>
      </w:tblGrid>
      <w:tr w14:paraId="5553BB0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638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127372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序号</w:t>
            </w:r>
          </w:p>
        </w:tc>
        <w:tc>
          <w:tcPr>
            <w:tcW w:w="4536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E3E71C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论文专著名称/刊名</w:t>
            </w:r>
          </w:p>
        </w:tc>
        <w:tc>
          <w:tcPr>
            <w:tcW w:w="2347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25D90B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年卷页码（xx年xx卷xx页）</w:t>
            </w:r>
          </w:p>
        </w:tc>
        <w:tc>
          <w:tcPr>
            <w:tcW w:w="1243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04337F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发表</w:t>
            </w:r>
          </w:p>
          <w:p w14:paraId="5E3857F7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时间</w:t>
            </w:r>
          </w:p>
          <w:p w14:paraId="32938DDA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（年、月）</w:t>
            </w:r>
          </w:p>
        </w:tc>
        <w:tc>
          <w:tcPr>
            <w:tcW w:w="1050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B5A5FB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通讯</w:t>
            </w:r>
          </w:p>
          <w:p w14:paraId="10AD7A75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作者</w:t>
            </w:r>
          </w:p>
        </w:tc>
        <w:tc>
          <w:tcPr>
            <w:tcW w:w="1222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3FA009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第一</w:t>
            </w:r>
          </w:p>
          <w:p w14:paraId="25EB68B1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作者</w:t>
            </w:r>
          </w:p>
        </w:tc>
        <w:tc>
          <w:tcPr>
            <w:tcW w:w="1264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1C0599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所有作者（按排序）</w:t>
            </w:r>
          </w:p>
        </w:tc>
        <w:tc>
          <w:tcPr>
            <w:tcW w:w="923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0F9A5E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他引</w:t>
            </w:r>
          </w:p>
          <w:p w14:paraId="72A1F58A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总次数</w:t>
            </w:r>
          </w:p>
        </w:tc>
        <w:tc>
          <w:tcPr>
            <w:tcW w:w="921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55B6D4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检索数据库</w:t>
            </w:r>
          </w:p>
        </w:tc>
      </w:tr>
      <w:tr w14:paraId="674012A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1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18A3D7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523ADB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LSD1 destabilizes FBXW7 and abrogates FBXW7 functions independent of its demethylase activity / Proceedings of the National Academy of Sciences of the United States of America</w:t>
            </w:r>
          </w:p>
        </w:tc>
        <w:tc>
          <w:tcPr>
            <w:tcW w:w="23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A8D5E6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2019,116(25):12311-12320.</w:t>
            </w:r>
          </w:p>
        </w:tc>
        <w:tc>
          <w:tcPr>
            <w:tcW w:w="12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22B96F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2019-06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30D235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孙毅</w:t>
            </w:r>
          </w:p>
        </w:tc>
        <w:tc>
          <w:tcPr>
            <w:tcW w:w="1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FD10E5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蓝辉银</w:t>
            </w:r>
          </w:p>
        </w:tc>
        <w:tc>
          <w:tcPr>
            <w:tcW w:w="12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7E12A2">
            <w:pPr>
              <w:spacing w:after="0" w:line="240" w:lineRule="auto"/>
              <w:jc w:val="left"/>
              <w:rPr>
                <w:rFonts w:eastAsia="仿宋_GB2312"/>
                <w:sz w:val="20"/>
                <w:szCs w:val="24"/>
              </w:rPr>
            </w:pPr>
            <w:r>
              <w:rPr>
                <w:rFonts w:eastAsia="仿宋_GB2312"/>
                <w:sz w:val="20"/>
              </w:rPr>
              <w:t>蓝辉银、Tan</w:t>
            </w:r>
            <w:r>
              <w:rPr>
                <w:rFonts w:hint="eastAsia" w:eastAsia="仿宋_GB2312"/>
                <w:sz w:val="20"/>
              </w:rPr>
              <w:t>,</w:t>
            </w:r>
            <w:r>
              <w:rPr>
                <w:rFonts w:eastAsia="仿宋_GB2312"/>
                <w:sz w:val="20"/>
              </w:rPr>
              <w:t xml:space="preserve"> Mingjia</w:t>
            </w:r>
            <w:r>
              <w:rPr>
                <w:rFonts w:eastAsia="仿宋_GB2312"/>
                <w:sz w:val="20"/>
                <w:szCs w:val="24"/>
              </w:rPr>
              <w:t>、</w:t>
            </w:r>
            <w:r>
              <w:rPr>
                <w:rFonts w:eastAsia="仿宋_GB2312"/>
                <w:sz w:val="20"/>
              </w:rPr>
              <w:t>Zhang</w:t>
            </w:r>
            <w:r>
              <w:rPr>
                <w:rFonts w:hint="eastAsia" w:eastAsia="仿宋_GB2312"/>
                <w:sz w:val="20"/>
              </w:rPr>
              <w:t>,</w:t>
            </w:r>
            <w:r>
              <w:rPr>
                <w:rFonts w:eastAsia="仿宋_GB2312"/>
                <w:sz w:val="20"/>
              </w:rPr>
              <w:t xml:space="preserve"> Qiang</w:t>
            </w:r>
            <w:r>
              <w:rPr>
                <w:rFonts w:eastAsia="仿宋_GB2312"/>
                <w:sz w:val="20"/>
                <w:szCs w:val="24"/>
              </w:rPr>
              <w:t>、</w:t>
            </w:r>
            <w:r>
              <w:rPr>
                <w:rFonts w:eastAsia="仿宋_GB2312"/>
                <w:sz w:val="20"/>
              </w:rPr>
              <w:t>杨非</w:t>
            </w:r>
            <w:r>
              <w:rPr>
                <w:rFonts w:eastAsia="仿宋_GB2312"/>
                <w:sz w:val="20"/>
                <w:szCs w:val="24"/>
              </w:rPr>
              <w:t>、</w:t>
            </w:r>
            <w:r>
              <w:rPr>
                <w:rFonts w:eastAsia="仿宋_GB2312"/>
                <w:sz w:val="20"/>
              </w:rPr>
              <w:t>王思源</w:t>
            </w:r>
            <w:r>
              <w:rPr>
                <w:rFonts w:eastAsia="仿宋_GB2312"/>
                <w:sz w:val="20"/>
                <w:szCs w:val="24"/>
              </w:rPr>
              <w:t>、</w:t>
            </w:r>
            <w:r>
              <w:rPr>
                <w:rFonts w:eastAsia="仿宋_GB2312"/>
                <w:sz w:val="20"/>
              </w:rPr>
              <w:t>Li</w:t>
            </w:r>
            <w:r>
              <w:rPr>
                <w:rFonts w:hint="eastAsia" w:eastAsia="仿宋_GB2312"/>
                <w:sz w:val="20"/>
              </w:rPr>
              <w:t>,</w:t>
            </w:r>
            <w:r>
              <w:rPr>
                <w:rFonts w:eastAsia="仿宋_GB2312"/>
                <w:sz w:val="20"/>
              </w:rPr>
              <w:t xml:space="preserve"> Hua、熊秀芳、孙毅</w:t>
            </w:r>
          </w:p>
        </w:tc>
        <w:tc>
          <w:tcPr>
            <w:tcW w:w="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9DAAD7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65</w:t>
            </w:r>
          </w:p>
        </w:tc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AFD9B7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2"/>
              </w:rPr>
              <w:t>Web of Science</w:t>
            </w:r>
          </w:p>
        </w:tc>
      </w:tr>
      <w:tr w14:paraId="308AAF7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6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177977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2</w:t>
            </w:r>
          </w:p>
        </w:tc>
        <w:tc>
          <w:tcPr>
            <w:tcW w:w="4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9B8EF1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The cross talk of two family members of β-TrCP in the regulation of cell autophagy and growth / Cell Death and Differentiation</w:t>
            </w:r>
          </w:p>
        </w:tc>
        <w:tc>
          <w:tcPr>
            <w:tcW w:w="23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C77CAE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2020,27(3):1119-1133.</w:t>
            </w:r>
          </w:p>
        </w:tc>
        <w:tc>
          <w:tcPr>
            <w:tcW w:w="12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0703D6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2020-03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2B26C6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赵永超</w:t>
            </w:r>
          </w:p>
        </w:tc>
        <w:tc>
          <w:tcPr>
            <w:tcW w:w="1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7B417D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崔丹蕊</w:t>
            </w:r>
          </w:p>
        </w:tc>
        <w:tc>
          <w:tcPr>
            <w:tcW w:w="12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8C1DCB">
            <w:pPr>
              <w:spacing w:after="0" w:line="240" w:lineRule="auto"/>
              <w:jc w:val="left"/>
              <w:rPr>
                <w:rFonts w:eastAsia="仿宋_GB2312"/>
                <w:sz w:val="20"/>
                <w:szCs w:val="24"/>
              </w:rPr>
            </w:pPr>
            <w:r>
              <w:rPr>
                <w:rFonts w:eastAsia="仿宋_GB2312"/>
                <w:sz w:val="20"/>
              </w:rPr>
              <w:t>崔丹蕊、代晓晴、舒健峰、马莹、韦栋平、熊秀芳、赵永超</w:t>
            </w:r>
          </w:p>
        </w:tc>
        <w:tc>
          <w:tcPr>
            <w:tcW w:w="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5FD63B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29</w:t>
            </w:r>
          </w:p>
        </w:tc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AA54F9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2"/>
              </w:rPr>
              <w:t>Web of Science</w:t>
            </w:r>
          </w:p>
        </w:tc>
      </w:tr>
      <w:tr w14:paraId="3098CC5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0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7B6936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3</w:t>
            </w:r>
          </w:p>
        </w:tc>
        <w:tc>
          <w:tcPr>
            <w:tcW w:w="4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8020CC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1"/>
              </w:rPr>
              <w:t>The Negative Cross-Talk between SAG/RBX2/ ROC2 and APC/C E3 Ligases in Regulation of Cell Cycle Progression and Drug Resistance / Cell Reports</w:t>
            </w:r>
          </w:p>
        </w:tc>
        <w:tc>
          <w:tcPr>
            <w:tcW w:w="23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770655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2020,32(10):108102.</w:t>
            </w:r>
          </w:p>
        </w:tc>
        <w:tc>
          <w:tcPr>
            <w:tcW w:w="12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3AA4A7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2020-09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CB4FDD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孙毅</w:t>
            </w:r>
          </w:p>
        </w:tc>
        <w:tc>
          <w:tcPr>
            <w:tcW w:w="1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C3D023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章时珍</w:t>
            </w:r>
          </w:p>
        </w:tc>
        <w:tc>
          <w:tcPr>
            <w:tcW w:w="12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14BC7D">
            <w:pPr>
              <w:spacing w:after="0" w:line="240" w:lineRule="auto"/>
              <w:jc w:val="left"/>
              <w:rPr>
                <w:rFonts w:eastAsia="仿宋_GB2312"/>
                <w:sz w:val="20"/>
                <w:szCs w:val="24"/>
              </w:rPr>
            </w:pPr>
            <w:r>
              <w:rPr>
                <w:rFonts w:eastAsia="仿宋_GB2312"/>
                <w:sz w:val="20"/>
              </w:rPr>
              <w:t>章时珍、 沈妍雯、 Li, Hua、 毕超、Sun, Yilun、熊秀芳、Wei</w:t>
            </w:r>
            <w:r>
              <w:rPr>
                <w:rFonts w:hint="eastAsia" w:eastAsia="仿宋_GB2312"/>
                <w:sz w:val="20"/>
              </w:rPr>
              <w:t>,</w:t>
            </w:r>
            <w:r>
              <w:rPr>
                <w:rFonts w:eastAsia="仿宋_GB2312"/>
                <w:sz w:val="20"/>
              </w:rPr>
              <w:t xml:space="preserve"> Wenyi、孙毅</w:t>
            </w:r>
          </w:p>
        </w:tc>
        <w:tc>
          <w:tcPr>
            <w:tcW w:w="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8FBEDB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8</w:t>
            </w:r>
          </w:p>
        </w:tc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99C149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2"/>
              </w:rPr>
              <w:t>Web of Science</w:t>
            </w:r>
          </w:p>
        </w:tc>
      </w:tr>
      <w:tr w14:paraId="4A2E005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1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E2D4C7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4</w:t>
            </w:r>
          </w:p>
        </w:tc>
        <w:tc>
          <w:tcPr>
            <w:tcW w:w="4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09CD94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The </w:t>
            </w:r>
            <w:r>
              <w:rPr>
                <w:rFonts w:eastAsia="仿宋_GB2312"/>
                <w:sz w:val="24"/>
                <w:szCs w:val="24"/>
              </w:rPr>
              <w:t>Ube2m-Rbx1 neddylation-Cullin</w:t>
            </w:r>
            <w:r>
              <w:rPr>
                <w:rFonts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-RING-</w:t>
            </w:r>
            <w:r>
              <w:rPr>
                <w:rFonts w:eastAsia="仿宋_GB2312"/>
                <w:sz w:val="24"/>
                <w:szCs w:val="24"/>
              </w:rPr>
              <w:t>Ligase proteins are essential for the maintenance of Regulatory T cell fitness /Nature Communications</w:t>
            </w:r>
          </w:p>
        </w:tc>
        <w:tc>
          <w:tcPr>
            <w:tcW w:w="23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208733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</w:rPr>
              <w:t>2022, 13:3021</w:t>
            </w:r>
          </w:p>
        </w:tc>
        <w:tc>
          <w:tcPr>
            <w:tcW w:w="12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EF809A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2022-05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255BF4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孙毅</w:t>
            </w:r>
          </w:p>
        </w:tc>
        <w:tc>
          <w:tcPr>
            <w:tcW w:w="1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456879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吴迪</w:t>
            </w:r>
          </w:p>
        </w:tc>
        <w:tc>
          <w:tcPr>
            <w:tcW w:w="12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C5B2B7">
            <w:pPr>
              <w:spacing w:after="0" w:line="240" w:lineRule="auto"/>
              <w:jc w:val="left"/>
              <w:rPr>
                <w:rFonts w:eastAsia="仿宋_GB2312"/>
                <w:sz w:val="20"/>
                <w:szCs w:val="24"/>
              </w:rPr>
            </w:pPr>
            <w:r>
              <w:rPr>
                <w:rFonts w:eastAsia="仿宋_GB2312"/>
                <w:sz w:val="20"/>
                <w:szCs w:val="24"/>
              </w:rPr>
              <w:t>吴迪、李昊</w:t>
            </w:r>
            <w:r>
              <w:rPr>
                <w:sz w:val="20"/>
                <w:szCs w:val="24"/>
              </w:rPr>
              <w:t>旻</w:t>
            </w:r>
            <w:r>
              <w:rPr>
                <w:rFonts w:eastAsia="仿宋_GB2312"/>
                <w:sz w:val="20"/>
                <w:szCs w:val="24"/>
              </w:rPr>
              <w:t>、刘明伟、秦钧、孙毅</w:t>
            </w:r>
          </w:p>
        </w:tc>
        <w:tc>
          <w:tcPr>
            <w:tcW w:w="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65D845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17</w:t>
            </w:r>
          </w:p>
        </w:tc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2694FA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2"/>
              </w:rPr>
              <w:t>Web of Science</w:t>
            </w:r>
          </w:p>
        </w:tc>
      </w:tr>
      <w:tr w14:paraId="7E50A1A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7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D06C1D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5</w:t>
            </w:r>
          </w:p>
        </w:tc>
        <w:tc>
          <w:tcPr>
            <w:tcW w:w="4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D07233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Neddylation inhibitor MLN4924 suppresses cilia formation by modulating AKT1 / Protein Cell</w:t>
            </w:r>
          </w:p>
        </w:tc>
        <w:tc>
          <w:tcPr>
            <w:tcW w:w="23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B9C3F4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2019,10(10):726- 744.</w:t>
            </w:r>
          </w:p>
        </w:tc>
        <w:tc>
          <w:tcPr>
            <w:tcW w:w="12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9F2EAB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2019-10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CE5DD1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孙毅</w:t>
            </w:r>
          </w:p>
        </w:tc>
        <w:tc>
          <w:tcPr>
            <w:tcW w:w="1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F1F2F7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毛红美</w:t>
            </w:r>
          </w:p>
        </w:tc>
        <w:tc>
          <w:tcPr>
            <w:tcW w:w="12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02D7FB">
            <w:pPr>
              <w:spacing w:after="0" w:line="240" w:lineRule="auto"/>
              <w:jc w:val="left"/>
              <w:rPr>
                <w:rFonts w:eastAsia="仿宋_GB2312"/>
                <w:sz w:val="20"/>
                <w:szCs w:val="24"/>
              </w:rPr>
            </w:pPr>
            <w:r>
              <w:rPr>
                <w:rFonts w:eastAsia="仿宋_GB2312"/>
                <w:sz w:val="20"/>
              </w:rPr>
              <w:t>毛红美、汤在明、Li, Hua、孙博、Tan, Mingjia、樊少华、Zhu, Yuan、孙毅</w:t>
            </w:r>
          </w:p>
        </w:tc>
        <w:tc>
          <w:tcPr>
            <w:tcW w:w="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24818A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19</w:t>
            </w:r>
          </w:p>
        </w:tc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8A5E4D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2"/>
              </w:rPr>
              <w:t>Web of Science</w:t>
            </w:r>
          </w:p>
        </w:tc>
      </w:tr>
      <w:tr w14:paraId="1ED47E1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3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55D91B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6</w:t>
            </w:r>
          </w:p>
        </w:tc>
        <w:tc>
          <w:tcPr>
            <w:tcW w:w="4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76DA6B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Discovery of a small molecule inhibitor of cullin neddylation that triggers ER stress to induce autophagy / Acta Pharmaceutica Sinica B</w:t>
            </w:r>
          </w:p>
        </w:tc>
        <w:tc>
          <w:tcPr>
            <w:tcW w:w="23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A60D38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2021,11(11):3567- 3584.</w:t>
            </w:r>
          </w:p>
        </w:tc>
        <w:tc>
          <w:tcPr>
            <w:tcW w:w="12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55E8BA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2021-11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CDD0B5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孙毅，崔孙良</w:t>
            </w:r>
          </w:p>
        </w:tc>
        <w:tc>
          <w:tcPr>
            <w:tcW w:w="1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CC7EE1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栗亚男</w:t>
            </w:r>
          </w:p>
        </w:tc>
        <w:tc>
          <w:tcPr>
            <w:tcW w:w="12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2C5063">
            <w:pPr>
              <w:spacing w:after="0" w:line="240" w:lineRule="auto"/>
              <w:jc w:val="left"/>
              <w:rPr>
                <w:rFonts w:eastAsia="仿宋_GB2312"/>
                <w:sz w:val="20"/>
                <w:szCs w:val="24"/>
              </w:rPr>
            </w:pPr>
            <w:r>
              <w:rPr>
                <w:rFonts w:eastAsia="仿宋_GB2312"/>
                <w:sz w:val="20"/>
              </w:rPr>
              <w:t>栗亚男、王朝荣、徐甜甜、潘培辰、俞卿、许磊、熊秀芳、侯廷军、崔孙良、孙毅</w:t>
            </w:r>
          </w:p>
        </w:tc>
        <w:tc>
          <w:tcPr>
            <w:tcW w:w="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14A6DA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20</w:t>
            </w:r>
          </w:p>
        </w:tc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51DE93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2"/>
              </w:rPr>
              <w:t>Web of Science</w:t>
            </w:r>
          </w:p>
        </w:tc>
      </w:tr>
      <w:tr w14:paraId="07CC261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0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F676F9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7</w:t>
            </w:r>
          </w:p>
        </w:tc>
        <w:tc>
          <w:tcPr>
            <w:tcW w:w="4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3F0BE6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A small molecule inhibitor of the UBE2F-CRL5 axis induces apoptosis and radiosensitization in lung cancer</w:t>
            </w:r>
            <w:r>
              <w:rPr>
                <w:rFonts w:eastAsia="仿宋_GB2312"/>
                <w:sz w:val="24"/>
              </w:rPr>
              <w:t xml:space="preserve"> /</w:t>
            </w:r>
            <w:r>
              <w:rPr>
                <w:rFonts w:eastAsia="仿宋_GB2312"/>
                <w:sz w:val="24"/>
                <w:szCs w:val="24"/>
              </w:rPr>
              <w:t xml:space="preserve"> Signal Transduction and Targeted Therapy</w:t>
            </w:r>
          </w:p>
        </w:tc>
        <w:tc>
          <w:tcPr>
            <w:tcW w:w="23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B81713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2022, 7(1):354.</w:t>
            </w:r>
          </w:p>
        </w:tc>
        <w:tc>
          <w:tcPr>
            <w:tcW w:w="12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5A074C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2022-10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D6E5D3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孙毅</w:t>
            </w:r>
          </w:p>
        </w:tc>
        <w:tc>
          <w:tcPr>
            <w:tcW w:w="1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3B82D4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徐甜甜</w:t>
            </w:r>
          </w:p>
        </w:tc>
        <w:tc>
          <w:tcPr>
            <w:tcW w:w="12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16DB2D">
            <w:pPr>
              <w:spacing w:after="0" w:line="240" w:lineRule="auto"/>
              <w:jc w:val="left"/>
              <w:rPr>
                <w:rFonts w:eastAsia="仿宋_GB2312"/>
                <w:sz w:val="20"/>
                <w:szCs w:val="24"/>
              </w:rPr>
            </w:pPr>
            <w:r>
              <w:rPr>
                <w:rFonts w:eastAsia="仿宋_GB2312"/>
                <w:sz w:val="20"/>
                <w:szCs w:val="24"/>
              </w:rPr>
              <w:t>徐甜甜、马启胜、栗亚男、俞卿、潘培辰、郑雅文、李之键、熊秀芳、侯廷军、余斌、刘宏民、孙毅</w:t>
            </w:r>
          </w:p>
        </w:tc>
        <w:tc>
          <w:tcPr>
            <w:tcW w:w="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E33738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27</w:t>
            </w:r>
          </w:p>
        </w:tc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CA5282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2"/>
              </w:rPr>
              <w:t>Web of Science</w:t>
            </w:r>
          </w:p>
        </w:tc>
      </w:tr>
      <w:tr w14:paraId="5CD13CC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6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65985A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8</w:t>
            </w:r>
          </w:p>
        </w:tc>
        <w:tc>
          <w:tcPr>
            <w:tcW w:w="4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92870C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A simple method for clinical assay of superoxide dismutase /</w:t>
            </w:r>
            <w:r>
              <w:rPr>
                <w:rFonts w:eastAsia="仿宋_GB2312"/>
              </w:rPr>
              <w:t xml:space="preserve"> </w:t>
            </w:r>
            <w:r>
              <w:rPr>
                <w:rFonts w:eastAsia="仿宋_GB2312"/>
                <w:sz w:val="24"/>
                <w:szCs w:val="24"/>
              </w:rPr>
              <w:t>Clinical Chemistry</w:t>
            </w:r>
          </w:p>
        </w:tc>
        <w:tc>
          <w:tcPr>
            <w:tcW w:w="23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537C60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1988, 34(3):497-500</w:t>
            </w:r>
          </w:p>
        </w:tc>
        <w:tc>
          <w:tcPr>
            <w:tcW w:w="12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D73E60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1988-03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80B800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李英</w:t>
            </w:r>
          </w:p>
        </w:tc>
        <w:tc>
          <w:tcPr>
            <w:tcW w:w="1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1FAAA6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孙毅</w:t>
            </w:r>
          </w:p>
        </w:tc>
        <w:tc>
          <w:tcPr>
            <w:tcW w:w="12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E26332">
            <w:pPr>
              <w:spacing w:after="0" w:line="240" w:lineRule="auto"/>
              <w:jc w:val="left"/>
              <w:rPr>
                <w:rFonts w:eastAsia="仿宋_GB2312"/>
                <w:sz w:val="20"/>
                <w:szCs w:val="24"/>
              </w:rPr>
            </w:pPr>
            <w:r>
              <w:rPr>
                <w:rFonts w:eastAsia="仿宋_GB2312"/>
                <w:sz w:val="20"/>
                <w:szCs w:val="24"/>
              </w:rPr>
              <w:t>孙毅、Oberley</w:t>
            </w:r>
            <w:r>
              <w:rPr>
                <w:rFonts w:hint="eastAsia" w:eastAsia="仿宋_GB2312"/>
                <w:sz w:val="20"/>
                <w:szCs w:val="24"/>
              </w:rPr>
              <w:t>,</w:t>
            </w:r>
            <w:r>
              <w:rPr>
                <w:rFonts w:eastAsia="仿宋_GB2312"/>
                <w:sz w:val="20"/>
                <w:szCs w:val="24"/>
              </w:rPr>
              <w:t xml:space="preserve"> Larry W、李英</w:t>
            </w:r>
          </w:p>
        </w:tc>
        <w:tc>
          <w:tcPr>
            <w:tcW w:w="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04342D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3680</w:t>
            </w:r>
          </w:p>
        </w:tc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529955">
            <w:pPr>
              <w:rPr>
                <w:rFonts w:eastAsia="仿宋_GB2312"/>
                <w:sz w:val="22"/>
              </w:rPr>
            </w:pPr>
            <w:r>
              <w:rPr>
                <w:rFonts w:eastAsia="仿宋_GB2312"/>
                <w:sz w:val="22"/>
              </w:rPr>
              <w:t>Web of Science</w:t>
            </w:r>
          </w:p>
        </w:tc>
      </w:tr>
      <w:tr w14:paraId="003FC4F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DED4B1">
            <w:pPr>
              <w:jc w:val="center"/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1166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925FF2">
            <w:pPr>
              <w:jc w:val="right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合计</w:t>
            </w:r>
          </w:p>
        </w:tc>
        <w:tc>
          <w:tcPr>
            <w:tcW w:w="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7791FF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hint="eastAsia" w:eastAsia="仿宋_GB2312"/>
                <w:sz w:val="24"/>
                <w:szCs w:val="24"/>
              </w:rPr>
              <w:t>3865</w:t>
            </w:r>
          </w:p>
        </w:tc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289744">
            <w:pPr>
              <w:rPr>
                <w:rFonts w:eastAsia="仿宋_GB2312"/>
                <w:sz w:val="24"/>
                <w:szCs w:val="24"/>
              </w:rPr>
            </w:pPr>
          </w:p>
        </w:tc>
      </w:tr>
    </w:tbl>
    <w:p w14:paraId="29736F6D"/>
    <w:p w14:paraId="479393D6">
      <w:pPr>
        <w:jc w:val="center"/>
        <w:rPr>
          <w:rFonts w:eastAsia="黑体"/>
          <w:sz w:val="32"/>
          <w:szCs w:val="32"/>
        </w:rPr>
      </w:pPr>
      <w:r>
        <w:br w:type="page"/>
      </w:r>
      <w:r>
        <w:rPr>
          <w:rFonts w:eastAsia="黑体"/>
          <w:sz w:val="32"/>
          <w:szCs w:val="32"/>
        </w:rPr>
        <w:t>八、主要知识产权和标准规范目录（不超过5件）</w:t>
      </w:r>
    </w:p>
    <w:tbl>
      <w:tblPr>
        <w:tblStyle w:val="16"/>
        <w:tblW w:w="1415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2577"/>
        <w:gridCol w:w="992"/>
        <w:gridCol w:w="1655"/>
        <w:gridCol w:w="1102"/>
        <w:gridCol w:w="1213"/>
        <w:gridCol w:w="1213"/>
        <w:gridCol w:w="2215"/>
        <w:gridCol w:w="2089"/>
      </w:tblGrid>
      <w:tr w14:paraId="6F9D61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9B4566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知识产权</w:t>
            </w:r>
          </w:p>
          <w:p w14:paraId="76C2068F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（标准规范）类别</w:t>
            </w: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82981C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知识产权（标准规范）具体名称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121CE7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国家</w:t>
            </w:r>
          </w:p>
          <w:p w14:paraId="16EB7C46">
            <w:pPr>
              <w:jc w:val="center"/>
              <w:rPr>
                <w:rFonts w:eastAsia="仿宋_GB2312"/>
                <w:bCs/>
                <w:snapToGrid w:val="0"/>
                <w:kern w:val="0"/>
                <w:sz w:val="24"/>
                <w:szCs w:val="21"/>
              </w:rPr>
            </w:pPr>
            <w:r>
              <w:rPr>
                <w:rFonts w:eastAsia="仿宋_GB2312"/>
                <w:bCs/>
                <w:snapToGrid w:val="0"/>
                <w:kern w:val="0"/>
                <w:sz w:val="24"/>
                <w:szCs w:val="21"/>
              </w:rPr>
              <w:t>（地区）</w:t>
            </w:r>
          </w:p>
        </w:tc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0B3F4D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授权号</w:t>
            </w:r>
          </w:p>
          <w:p w14:paraId="41885DD1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（标准规范编号）</w:t>
            </w:r>
          </w:p>
        </w:tc>
        <w:tc>
          <w:tcPr>
            <w:tcW w:w="11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83E388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授权（标准发布）日期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BCB2A0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证书编号（标准规范批准发布部门）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1D4BEA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权利人（标准规范起草单位）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F614CB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发明人（标准规范起草人）</w:t>
            </w:r>
          </w:p>
        </w:tc>
        <w:tc>
          <w:tcPr>
            <w:tcW w:w="2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887FD8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发明专利（标准规范）有效状态</w:t>
            </w:r>
          </w:p>
        </w:tc>
      </w:tr>
      <w:tr w14:paraId="6AF892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C48BDD">
            <w:pPr>
              <w:rPr>
                <w:rFonts w:eastAsia="仿宋_GB2312"/>
                <w:sz w:val="24"/>
                <w:szCs w:val="28"/>
              </w:rPr>
            </w:pPr>
            <w:r>
              <w:rPr>
                <w:rFonts w:eastAsia="仿宋_GB2312"/>
                <w:sz w:val="24"/>
                <w:szCs w:val="28"/>
              </w:rPr>
              <w:t>发明专利</w:t>
            </w: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36613F">
            <w:pPr>
              <w:rPr>
                <w:rFonts w:eastAsia="仿宋_GB2312"/>
                <w:sz w:val="24"/>
                <w:szCs w:val="28"/>
              </w:rPr>
            </w:pPr>
            <w:r>
              <w:rPr>
                <w:rFonts w:eastAsia="仿宋_GB2312"/>
                <w:sz w:val="24"/>
                <w:szCs w:val="28"/>
              </w:rPr>
              <w:t>一种二苯基脲类抗肿瘤小分子抑制剂及其制备方法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3D7E10">
            <w:pPr>
              <w:rPr>
                <w:rFonts w:eastAsia="仿宋_GB2312"/>
                <w:sz w:val="24"/>
                <w:szCs w:val="28"/>
              </w:rPr>
            </w:pPr>
            <w:r>
              <w:rPr>
                <w:rFonts w:eastAsia="仿宋_GB2312"/>
                <w:sz w:val="24"/>
                <w:szCs w:val="28"/>
              </w:rPr>
              <w:t>中国</w:t>
            </w:r>
          </w:p>
        </w:tc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19ECED">
            <w:pPr>
              <w:rPr>
                <w:rFonts w:eastAsia="仿宋_GB2312"/>
                <w:sz w:val="24"/>
                <w:szCs w:val="28"/>
              </w:rPr>
            </w:pPr>
            <w:r>
              <w:rPr>
                <w:rFonts w:eastAsia="仿宋_GB2312"/>
                <w:sz w:val="24"/>
                <w:szCs w:val="28"/>
              </w:rPr>
              <w:t>CN110128299B</w:t>
            </w:r>
          </w:p>
        </w:tc>
        <w:tc>
          <w:tcPr>
            <w:tcW w:w="11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A31405">
            <w:pPr>
              <w:rPr>
                <w:rFonts w:eastAsia="仿宋_GB2312"/>
                <w:sz w:val="24"/>
                <w:szCs w:val="28"/>
              </w:rPr>
            </w:pPr>
            <w:r>
              <w:rPr>
                <w:rFonts w:eastAsia="仿宋_GB2312"/>
                <w:sz w:val="24"/>
                <w:szCs w:val="28"/>
              </w:rPr>
              <w:t>2020-11-10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43C814">
            <w:pPr>
              <w:rPr>
                <w:rFonts w:eastAsia="仿宋_GB2312"/>
                <w:sz w:val="24"/>
                <w:szCs w:val="28"/>
              </w:rPr>
            </w:pPr>
            <w:r>
              <w:rPr>
                <w:rFonts w:eastAsia="仿宋_GB2312"/>
                <w:sz w:val="24"/>
                <w:szCs w:val="28"/>
              </w:rPr>
              <w:t>ZL201910391706.8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5F6CF3">
            <w:pPr>
              <w:rPr>
                <w:rFonts w:eastAsia="仿宋_GB2312"/>
                <w:sz w:val="24"/>
                <w:szCs w:val="28"/>
              </w:rPr>
            </w:pPr>
            <w:r>
              <w:rPr>
                <w:rFonts w:eastAsia="仿宋_GB2312"/>
                <w:sz w:val="24"/>
                <w:szCs w:val="28"/>
              </w:rPr>
              <w:t>浙江大学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E37D45">
            <w:pPr>
              <w:rPr>
                <w:rFonts w:eastAsia="仿宋_GB2312"/>
                <w:sz w:val="24"/>
                <w:szCs w:val="28"/>
              </w:rPr>
            </w:pPr>
            <w:r>
              <w:rPr>
                <w:rFonts w:eastAsia="仿宋_GB2312"/>
                <w:sz w:val="24"/>
                <w:szCs w:val="28"/>
              </w:rPr>
              <w:t>孙毅</w:t>
            </w:r>
            <w:r>
              <w:rPr>
                <w:rFonts w:hint="eastAsia" w:eastAsia="仿宋_GB2312"/>
                <w:sz w:val="24"/>
                <w:szCs w:val="28"/>
              </w:rPr>
              <w:t>、</w:t>
            </w:r>
            <w:r>
              <w:rPr>
                <w:rFonts w:eastAsia="仿宋_GB2312"/>
                <w:sz w:val="24"/>
                <w:szCs w:val="28"/>
              </w:rPr>
              <w:t>崔孙良</w:t>
            </w:r>
            <w:r>
              <w:rPr>
                <w:rFonts w:hint="eastAsia" w:eastAsia="仿宋_GB2312"/>
                <w:sz w:val="24"/>
                <w:szCs w:val="28"/>
              </w:rPr>
              <w:t>、</w:t>
            </w:r>
            <w:r>
              <w:rPr>
                <w:rFonts w:eastAsia="仿宋_GB2312"/>
                <w:sz w:val="24"/>
                <w:szCs w:val="28"/>
              </w:rPr>
              <w:t>栗亚男</w:t>
            </w:r>
            <w:r>
              <w:rPr>
                <w:rFonts w:hint="eastAsia" w:eastAsia="仿宋_GB2312"/>
                <w:sz w:val="24"/>
                <w:szCs w:val="28"/>
              </w:rPr>
              <w:t>、</w:t>
            </w:r>
            <w:r>
              <w:rPr>
                <w:rFonts w:eastAsia="仿宋_GB2312"/>
                <w:sz w:val="24"/>
                <w:szCs w:val="28"/>
              </w:rPr>
              <w:t>徐甜甜</w:t>
            </w:r>
            <w:r>
              <w:rPr>
                <w:rFonts w:hint="eastAsia" w:eastAsia="仿宋_GB2312"/>
                <w:sz w:val="24"/>
                <w:szCs w:val="28"/>
              </w:rPr>
              <w:t>、</w:t>
            </w:r>
            <w:r>
              <w:rPr>
                <w:rFonts w:eastAsia="仿宋_GB2312"/>
                <w:sz w:val="24"/>
                <w:szCs w:val="28"/>
              </w:rPr>
              <w:t>王朝荣</w:t>
            </w:r>
            <w:r>
              <w:rPr>
                <w:rFonts w:hint="eastAsia" w:eastAsia="仿宋_GB2312"/>
                <w:sz w:val="24"/>
                <w:szCs w:val="28"/>
              </w:rPr>
              <w:t>、</w:t>
            </w:r>
            <w:r>
              <w:rPr>
                <w:rFonts w:eastAsia="仿宋_GB2312"/>
                <w:sz w:val="24"/>
                <w:szCs w:val="28"/>
              </w:rPr>
              <w:t>徐束恒</w:t>
            </w:r>
            <w:r>
              <w:rPr>
                <w:rFonts w:hint="eastAsia" w:eastAsia="仿宋_GB2312"/>
                <w:sz w:val="24"/>
                <w:szCs w:val="28"/>
              </w:rPr>
              <w:t>、</w:t>
            </w:r>
            <w:r>
              <w:rPr>
                <w:rFonts w:eastAsia="仿宋_GB2312"/>
                <w:sz w:val="24"/>
                <w:szCs w:val="28"/>
              </w:rPr>
              <w:t>侯廷军</w:t>
            </w:r>
            <w:r>
              <w:rPr>
                <w:rFonts w:hint="eastAsia" w:eastAsia="仿宋_GB2312"/>
                <w:sz w:val="24"/>
                <w:szCs w:val="28"/>
              </w:rPr>
              <w:t>、</w:t>
            </w:r>
            <w:r>
              <w:rPr>
                <w:rFonts w:eastAsia="仿宋_GB2312"/>
                <w:sz w:val="24"/>
                <w:szCs w:val="28"/>
              </w:rPr>
              <w:t>潘培辰</w:t>
            </w:r>
            <w:r>
              <w:rPr>
                <w:rFonts w:hint="eastAsia" w:eastAsia="仿宋_GB2312"/>
                <w:sz w:val="24"/>
                <w:szCs w:val="28"/>
              </w:rPr>
              <w:t>、</w:t>
            </w:r>
            <w:r>
              <w:rPr>
                <w:rFonts w:eastAsia="仿宋_GB2312"/>
                <w:sz w:val="24"/>
                <w:szCs w:val="28"/>
              </w:rPr>
              <w:t>熊秀芳</w:t>
            </w:r>
          </w:p>
        </w:tc>
        <w:tc>
          <w:tcPr>
            <w:tcW w:w="2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49957C">
            <w:pPr>
              <w:rPr>
                <w:rFonts w:eastAsia="仿宋_GB2312"/>
                <w:sz w:val="24"/>
                <w:szCs w:val="28"/>
              </w:rPr>
            </w:pPr>
            <w:r>
              <w:rPr>
                <w:rFonts w:eastAsia="仿宋_GB2312"/>
                <w:sz w:val="24"/>
                <w:szCs w:val="28"/>
              </w:rPr>
              <w:t>有效</w:t>
            </w:r>
          </w:p>
        </w:tc>
      </w:tr>
      <w:tr w14:paraId="14E517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6" w:hRule="atLeast"/>
          <w:jc w:val="center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1C447B">
            <w:pPr>
              <w:rPr>
                <w:rFonts w:eastAsia="仿宋_GB2312"/>
                <w:sz w:val="24"/>
                <w:szCs w:val="28"/>
              </w:rPr>
            </w:pPr>
            <w:r>
              <w:rPr>
                <w:rFonts w:eastAsia="仿宋_GB2312"/>
                <w:sz w:val="24"/>
                <w:szCs w:val="28"/>
              </w:rPr>
              <w:t>发明专利</w:t>
            </w: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7C0152">
            <w:pPr>
              <w:rPr>
                <w:rFonts w:eastAsia="仿宋_GB2312"/>
                <w:sz w:val="24"/>
                <w:szCs w:val="28"/>
              </w:rPr>
            </w:pPr>
            <w:r>
              <w:rPr>
                <w:rFonts w:eastAsia="仿宋_GB2312"/>
                <w:sz w:val="24"/>
                <w:szCs w:val="28"/>
              </w:rPr>
              <w:t>一种苯基哌嗪类UBE2F小分子抑制剂及其合成方法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4B6A13">
            <w:pPr>
              <w:rPr>
                <w:rFonts w:eastAsia="仿宋_GB2312"/>
                <w:sz w:val="24"/>
                <w:szCs w:val="28"/>
              </w:rPr>
            </w:pPr>
            <w:r>
              <w:rPr>
                <w:rFonts w:eastAsia="仿宋_GB2312"/>
                <w:sz w:val="24"/>
                <w:szCs w:val="28"/>
              </w:rPr>
              <w:t>中国</w:t>
            </w:r>
          </w:p>
        </w:tc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313916">
            <w:pPr>
              <w:rPr>
                <w:rFonts w:eastAsia="仿宋_GB2312"/>
                <w:sz w:val="24"/>
                <w:szCs w:val="28"/>
              </w:rPr>
            </w:pPr>
            <w:r>
              <w:rPr>
                <w:rFonts w:eastAsia="仿宋_GB2312"/>
                <w:sz w:val="24"/>
                <w:szCs w:val="28"/>
              </w:rPr>
              <w:t>CN110156729B</w:t>
            </w:r>
          </w:p>
        </w:tc>
        <w:tc>
          <w:tcPr>
            <w:tcW w:w="11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67E733">
            <w:pPr>
              <w:rPr>
                <w:rFonts w:eastAsia="仿宋_GB2312"/>
                <w:sz w:val="24"/>
                <w:szCs w:val="28"/>
              </w:rPr>
            </w:pPr>
            <w:r>
              <w:rPr>
                <w:rFonts w:eastAsia="仿宋_GB2312"/>
                <w:sz w:val="24"/>
                <w:szCs w:val="28"/>
              </w:rPr>
              <w:t>2022-12-06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1D39B7">
            <w:pPr>
              <w:rPr>
                <w:rFonts w:eastAsia="仿宋_GB2312"/>
                <w:sz w:val="24"/>
                <w:szCs w:val="28"/>
              </w:rPr>
            </w:pPr>
            <w:r>
              <w:rPr>
                <w:rFonts w:eastAsia="仿宋_GB2312"/>
                <w:sz w:val="24"/>
                <w:szCs w:val="28"/>
              </w:rPr>
              <w:t>ZL201910404046.2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3BDF12">
            <w:pPr>
              <w:rPr>
                <w:rFonts w:eastAsia="仿宋_GB2312"/>
                <w:sz w:val="24"/>
                <w:szCs w:val="28"/>
              </w:rPr>
            </w:pPr>
            <w:r>
              <w:rPr>
                <w:rFonts w:eastAsia="仿宋_GB2312"/>
                <w:sz w:val="24"/>
                <w:szCs w:val="28"/>
              </w:rPr>
              <w:t>浙江大学、郑州大学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E99B37">
            <w:pPr>
              <w:rPr>
                <w:rFonts w:eastAsia="仿宋_GB2312"/>
                <w:sz w:val="24"/>
                <w:szCs w:val="28"/>
              </w:rPr>
            </w:pPr>
            <w:r>
              <w:rPr>
                <w:rFonts w:eastAsia="仿宋_GB2312"/>
                <w:sz w:val="24"/>
                <w:szCs w:val="28"/>
              </w:rPr>
              <w:t>孙毅</w:t>
            </w:r>
            <w:r>
              <w:rPr>
                <w:rFonts w:hint="eastAsia" w:eastAsia="仿宋_GB2312"/>
                <w:sz w:val="24"/>
                <w:szCs w:val="28"/>
              </w:rPr>
              <w:t>、</w:t>
            </w:r>
            <w:r>
              <w:rPr>
                <w:rFonts w:eastAsia="仿宋_GB2312"/>
                <w:sz w:val="24"/>
                <w:szCs w:val="28"/>
              </w:rPr>
              <w:t>刘宏民</w:t>
            </w:r>
            <w:r>
              <w:rPr>
                <w:rFonts w:hint="eastAsia" w:eastAsia="仿宋_GB2312"/>
                <w:sz w:val="24"/>
                <w:szCs w:val="28"/>
              </w:rPr>
              <w:t>、</w:t>
            </w:r>
            <w:r>
              <w:rPr>
                <w:rFonts w:eastAsia="仿宋_GB2312"/>
                <w:sz w:val="24"/>
                <w:szCs w:val="28"/>
              </w:rPr>
              <w:t>徐甜甜</w:t>
            </w:r>
            <w:r>
              <w:rPr>
                <w:rFonts w:hint="eastAsia" w:eastAsia="仿宋_GB2312"/>
                <w:sz w:val="24"/>
                <w:szCs w:val="28"/>
              </w:rPr>
              <w:t>、</w:t>
            </w:r>
            <w:r>
              <w:rPr>
                <w:rFonts w:eastAsia="仿宋_GB2312"/>
                <w:sz w:val="24"/>
                <w:szCs w:val="28"/>
              </w:rPr>
              <w:t>栗亚男</w:t>
            </w:r>
            <w:r>
              <w:rPr>
                <w:rFonts w:hint="eastAsia" w:eastAsia="仿宋_GB2312"/>
                <w:sz w:val="24"/>
                <w:szCs w:val="28"/>
              </w:rPr>
              <w:t>、</w:t>
            </w:r>
            <w:r>
              <w:rPr>
                <w:rFonts w:eastAsia="仿宋_GB2312"/>
                <w:sz w:val="24"/>
                <w:szCs w:val="28"/>
              </w:rPr>
              <w:t>余斌</w:t>
            </w:r>
            <w:r>
              <w:rPr>
                <w:rFonts w:hint="eastAsia" w:eastAsia="仿宋_GB2312"/>
                <w:sz w:val="24"/>
                <w:szCs w:val="28"/>
              </w:rPr>
              <w:t>、</w:t>
            </w:r>
            <w:r>
              <w:rPr>
                <w:rFonts w:eastAsia="仿宋_GB2312"/>
                <w:sz w:val="24"/>
                <w:szCs w:val="28"/>
              </w:rPr>
              <w:t>马启胜</w:t>
            </w:r>
            <w:r>
              <w:rPr>
                <w:rFonts w:hint="eastAsia" w:eastAsia="仿宋_GB2312"/>
                <w:sz w:val="24"/>
                <w:szCs w:val="28"/>
              </w:rPr>
              <w:t>、</w:t>
            </w:r>
            <w:r>
              <w:rPr>
                <w:rFonts w:eastAsia="仿宋_GB2312"/>
                <w:sz w:val="24"/>
                <w:szCs w:val="28"/>
              </w:rPr>
              <w:t>侯廷军</w:t>
            </w:r>
            <w:r>
              <w:rPr>
                <w:rFonts w:hint="eastAsia" w:eastAsia="仿宋_GB2312"/>
                <w:sz w:val="24"/>
                <w:szCs w:val="28"/>
              </w:rPr>
              <w:t>、</w:t>
            </w:r>
            <w:r>
              <w:rPr>
                <w:rFonts w:eastAsia="仿宋_GB2312"/>
                <w:sz w:val="24"/>
                <w:szCs w:val="28"/>
              </w:rPr>
              <w:t>潘培辰</w:t>
            </w:r>
            <w:r>
              <w:rPr>
                <w:rFonts w:hint="eastAsia" w:eastAsia="仿宋_GB2312"/>
                <w:sz w:val="24"/>
                <w:szCs w:val="28"/>
              </w:rPr>
              <w:t>、</w:t>
            </w:r>
            <w:r>
              <w:rPr>
                <w:rFonts w:eastAsia="仿宋_GB2312"/>
                <w:sz w:val="24"/>
                <w:szCs w:val="28"/>
              </w:rPr>
              <w:t>熊秀芳</w:t>
            </w:r>
          </w:p>
        </w:tc>
        <w:tc>
          <w:tcPr>
            <w:tcW w:w="2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F4797A">
            <w:pPr>
              <w:rPr>
                <w:rFonts w:eastAsia="仿宋_GB2312"/>
                <w:sz w:val="24"/>
                <w:szCs w:val="28"/>
              </w:rPr>
            </w:pPr>
            <w:r>
              <w:rPr>
                <w:rFonts w:eastAsia="仿宋_GB2312"/>
                <w:sz w:val="24"/>
                <w:szCs w:val="28"/>
              </w:rPr>
              <w:t>有效</w:t>
            </w:r>
          </w:p>
        </w:tc>
      </w:tr>
    </w:tbl>
    <w:p w14:paraId="1B310845">
      <w:pPr>
        <w:ind w:firstLine="640" w:firstLineChars="200"/>
        <w:jc w:val="left"/>
        <w:rPr>
          <w:rFonts w:eastAsia="仿宋_GB2312"/>
          <w:sz w:val="32"/>
          <w:szCs w:val="32"/>
        </w:rPr>
      </w:pPr>
    </w:p>
    <w:sectPr>
      <w:footerReference r:id="rId9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CB25FAD-88EC-4DE2-B9EE-8F5E1E8A8B5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BCB8079-7FF3-4B50-BDEF-FBC925FD32B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2450B2D-F92F-4DB6-AFB4-1623B78AC01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9511203-CEB6-4275-AB1C-28BFB6A1617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F139A79-C9A8-4220-ADC2-AF39168FE38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C6C3098E-2A96-4290-9B6E-F853AD885B9D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FF9732ED-FDC0-4F9D-98A3-DF1F47C7583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648D27DC-E961-44F7-A2C3-1E2573E868F5}"/>
  </w:font>
  <w:font w:name="方正仿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9" w:fontKey="{4B2D4DFF-7CFC-4446-9EB0-A116182BB114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BC666E7C-8E16-482A-93DB-1F7CC2D7B67C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1" w:fontKey="{3A6FEA58-9B8A-4B07-866E-43E19685724F}"/>
  </w:font>
  <w:font w:name="___WRD_EMBED_SUB_42">
    <w:altName w:val="Malgun Gothic Semilight"/>
    <w:panose1 w:val="03000509000000000000"/>
    <w:charset w:val="86"/>
    <w:family w:val="modern"/>
    <w:pitch w:val="default"/>
    <w:sig w:usb0="00000000" w:usb1="00000000" w:usb2="00000010" w:usb3="00000000" w:csb0="00040000" w:csb1="00000000"/>
    <w:embedRegular r:id="rId12" w:fontKey="{A897D41B-B287-4E15-A620-DE722FC33DD9}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  <w:font w:name="方正黑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3" w:fontKey="{0F7FF057-380A-491D-A86E-9C7A03C445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76286816"/>
    </w:sdtPr>
    <w:sdtEndPr>
      <w:rPr>
        <w:sz w:val="21"/>
        <w:szCs w:val="21"/>
      </w:rPr>
    </w:sdtEndPr>
    <w:sdtContent>
      <w:p w14:paraId="5B22BDE4">
        <w:pPr>
          <w:pStyle w:val="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3</w:t>
        </w:r>
        <w:r>
          <w:rPr>
            <w:sz w:val="21"/>
            <w:szCs w:val="21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514807358"/>
    </w:sdtPr>
    <w:sdtContent>
      <w:p w14:paraId="6254711F">
        <w:pPr>
          <w:pStyle w:val="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7</w:t>
        </w:r>
        <w:r>
          <w:fldChar w:fldCharType="end"/>
        </w:r>
      </w:p>
    </w:sdtContent>
  </w:sdt>
  <w:p w14:paraId="5C849936">
    <w:pPr>
      <w:pStyle w:val="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75AFD8">
    <w:pPr>
      <w:ind w:left="420" w:hanging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7A2905"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50F4DE">
    <w:pPr>
      <w:pStyle w:val="10"/>
      <w:ind w:left="360" w:hanging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hideSpellingErrors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00006056"/>
    <w:rsid w:val="00007BBE"/>
    <w:rsid w:val="00011C26"/>
    <w:rsid w:val="000165DC"/>
    <w:rsid w:val="00031E44"/>
    <w:rsid w:val="00033288"/>
    <w:rsid w:val="0004004D"/>
    <w:rsid w:val="00051BE3"/>
    <w:rsid w:val="00053F24"/>
    <w:rsid w:val="0006546D"/>
    <w:rsid w:val="00067E32"/>
    <w:rsid w:val="000813F7"/>
    <w:rsid w:val="00083906"/>
    <w:rsid w:val="000847FC"/>
    <w:rsid w:val="000929AE"/>
    <w:rsid w:val="000A0FE4"/>
    <w:rsid w:val="000B2E39"/>
    <w:rsid w:val="000B70B3"/>
    <w:rsid w:val="000C632A"/>
    <w:rsid w:val="000F1229"/>
    <w:rsid w:val="000F2C51"/>
    <w:rsid w:val="000F2CC3"/>
    <w:rsid w:val="000F6066"/>
    <w:rsid w:val="000F6517"/>
    <w:rsid w:val="000F6B39"/>
    <w:rsid w:val="000F7732"/>
    <w:rsid w:val="001039E9"/>
    <w:rsid w:val="00104F03"/>
    <w:rsid w:val="0012430D"/>
    <w:rsid w:val="001435CC"/>
    <w:rsid w:val="001467D4"/>
    <w:rsid w:val="00153E23"/>
    <w:rsid w:val="00154376"/>
    <w:rsid w:val="001553CE"/>
    <w:rsid w:val="001614FC"/>
    <w:rsid w:val="0016168D"/>
    <w:rsid w:val="00165962"/>
    <w:rsid w:val="0017168F"/>
    <w:rsid w:val="00172167"/>
    <w:rsid w:val="001806B8"/>
    <w:rsid w:val="001829B2"/>
    <w:rsid w:val="00185449"/>
    <w:rsid w:val="00192701"/>
    <w:rsid w:val="0019371C"/>
    <w:rsid w:val="001A5554"/>
    <w:rsid w:val="001A55E6"/>
    <w:rsid w:val="001B0C22"/>
    <w:rsid w:val="001B454D"/>
    <w:rsid w:val="001C4D6D"/>
    <w:rsid w:val="001C500A"/>
    <w:rsid w:val="001D3908"/>
    <w:rsid w:val="001F032B"/>
    <w:rsid w:val="001F2C76"/>
    <w:rsid w:val="001F7F40"/>
    <w:rsid w:val="00212129"/>
    <w:rsid w:val="00213CE9"/>
    <w:rsid w:val="0021734C"/>
    <w:rsid w:val="002242B0"/>
    <w:rsid w:val="002247F4"/>
    <w:rsid w:val="00230FE9"/>
    <w:rsid w:val="0023223F"/>
    <w:rsid w:val="00240849"/>
    <w:rsid w:val="00244749"/>
    <w:rsid w:val="00247A49"/>
    <w:rsid w:val="00251808"/>
    <w:rsid w:val="002579D1"/>
    <w:rsid w:val="002745F8"/>
    <w:rsid w:val="00283031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E42A8"/>
    <w:rsid w:val="002E43DB"/>
    <w:rsid w:val="002F1911"/>
    <w:rsid w:val="002F74D2"/>
    <w:rsid w:val="0030543F"/>
    <w:rsid w:val="003063D6"/>
    <w:rsid w:val="00306AAB"/>
    <w:rsid w:val="00311F89"/>
    <w:rsid w:val="003125EF"/>
    <w:rsid w:val="00326352"/>
    <w:rsid w:val="00330554"/>
    <w:rsid w:val="00331B99"/>
    <w:rsid w:val="00336678"/>
    <w:rsid w:val="00340314"/>
    <w:rsid w:val="00343DF4"/>
    <w:rsid w:val="00347614"/>
    <w:rsid w:val="00356B8A"/>
    <w:rsid w:val="00363C7E"/>
    <w:rsid w:val="00370977"/>
    <w:rsid w:val="00377C1C"/>
    <w:rsid w:val="00381750"/>
    <w:rsid w:val="00382214"/>
    <w:rsid w:val="00382EDD"/>
    <w:rsid w:val="00386D85"/>
    <w:rsid w:val="003A08CF"/>
    <w:rsid w:val="003A343A"/>
    <w:rsid w:val="003A466E"/>
    <w:rsid w:val="003A54CB"/>
    <w:rsid w:val="003A5D0E"/>
    <w:rsid w:val="003A60A7"/>
    <w:rsid w:val="003B0906"/>
    <w:rsid w:val="003B2A50"/>
    <w:rsid w:val="003B3345"/>
    <w:rsid w:val="003C1234"/>
    <w:rsid w:val="003C4124"/>
    <w:rsid w:val="003E6BFB"/>
    <w:rsid w:val="003F0278"/>
    <w:rsid w:val="003F1E9D"/>
    <w:rsid w:val="003F76A0"/>
    <w:rsid w:val="00401E30"/>
    <w:rsid w:val="004179C8"/>
    <w:rsid w:val="0042367A"/>
    <w:rsid w:val="00427A6E"/>
    <w:rsid w:val="004300EE"/>
    <w:rsid w:val="00442705"/>
    <w:rsid w:val="00444A55"/>
    <w:rsid w:val="0044700B"/>
    <w:rsid w:val="0044760A"/>
    <w:rsid w:val="00453528"/>
    <w:rsid w:val="00453B0C"/>
    <w:rsid w:val="00453C0E"/>
    <w:rsid w:val="00461A90"/>
    <w:rsid w:val="004742AC"/>
    <w:rsid w:val="004820BD"/>
    <w:rsid w:val="00484A1D"/>
    <w:rsid w:val="00484D69"/>
    <w:rsid w:val="004929AC"/>
    <w:rsid w:val="00492EAC"/>
    <w:rsid w:val="004A6419"/>
    <w:rsid w:val="004B0B2A"/>
    <w:rsid w:val="004B13A5"/>
    <w:rsid w:val="004B531C"/>
    <w:rsid w:val="004C2337"/>
    <w:rsid w:val="004D3106"/>
    <w:rsid w:val="004D55B5"/>
    <w:rsid w:val="004D5799"/>
    <w:rsid w:val="004E11C6"/>
    <w:rsid w:val="004E36AB"/>
    <w:rsid w:val="004F3319"/>
    <w:rsid w:val="004F503B"/>
    <w:rsid w:val="004F551A"/>
    <w:rsid w:val="005002DF"/>
    <w:rsid w:val="00500EBD"/>
    <w:rsid w:val="00504232"/>
    <w:rsid w:val="00510C66"/>
    <w:rsid w:val="00511F4B"/>
    <w:rsid w:val="0051372C"/>
    <w:rsid w:val="00521ED7"/>
    <w:rsid w:val="00526964"/>
    <w:rsid w:val="00532D5A"/>
    <w:rsid w:val="005354E4"/>
    <w:rsid w:val="00552729"/>
    <w:rsid w:val="005563CE"/>
    <w:rsid w:val="005663D6"/>
    <w:rsid w:val="00570701"/>
    <w:rsid w:val="0057414B"/>
    <w:rsid w:val="0057576E"/>
    <w:rsid w:val="0058367D"/>
    <w:rsid w:val="00586D66"/>
    <w:rsid w:val="0059269B"/>
    <w:rsid w:val="00595A36"/>
    <w:rsid w:val="005A0877"/>
    <w:rsid w:val="005A17EC"/>
    <w:rsid w:val="005A1A1D"/>
    <w:rsid w:val="005A485B"/>
    <w:rsid w:val="005A6276"/>
    <w:rsid w:val="005A6B7D"/>
    <w:rsid w:val="005A6D3E"/>
    <w:rsid w:val="005B5550"/>
    <w:rsid w:val="005B65F0"/>
    <w:rsid w:val="005D2A14"/>
    <w:rsid w:val="005D36E9"/>
    <w:rsid w:val="005E0059"/>
    <w:rsid w:val="005E261D"/>
    <w:rsid w:val="005E49A6"/>
    <w:rsid w:val="005E6D32"/>
    <w:rsid w:val="005F0DC8"/>
    <w:rsid w:val="00600FA4"/>
    <w:rsid w:val="00605720"/>
    <w:rsid w:val="00611BDC"/>
    <w:rsid w:val="006177DC"/>
    <w:rsid w:val="00623BD2"/>
    <w:rsid w:val="00626265"/>
    <w:rsid w:val="006269F8"/>
    <w:rsid w:val="00642EBC"/>
    <w:rsid w:val="00643B2E"/>
    <w:rsid w:val="00646AD1"/>
    <w:rsid w:val="00652FF1"/>
    <w:rsid w:val="006546AC"/>
    <w:rsid w:val="00670053"/>
    <w:rsid w:val="00673E71"/>
    <w:rsid w:val="006823DB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59C3"/>
    <w:rsid w:val="006E4386"/>
    <w:rsid w:val="006E5310"/>
    <w:rsid w:val="006F0C81"/>
    <w:rsid w:val="006F5EED"/>
    <w:rsid w:val="006F7780"/>
    <w:rsid w:val="007116D0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5A7E"/>
    <w:rsid w:val="007C5AC5"/>
    <w:rsid w:val="007D26E7"/>
    <w:rsid w:val="007D58D1"/>
    <w:rsid w:val="007D68D7"/>
    <w:rsid w:val="007E17CF"/>
    <w:rsid w:val="007F026B"/>
    <w:rsid w:val="007F5A15"/>
    <w:rsid w:val="0080157D"/>
    <w:rsid w:val="00805021"/>
    <w:rsid w:val="00806013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4724"/>
    <w:rsid w:val="008A09D1"/>
    <w:rsid w:val="008A37FE"/>
    <w:rsid w:val="008B0CC5"/>
    <w:rsid w:val="008B5F0B"/>
    <w:rsid w:val="008B78AD"/>
    <w:rsid w:val="008C37F3"/>
    <w:rsid w:val="008C5BE5"/>
    <w:rsid w:val="008C7FED"/>
    <w:rsid w:val="0090595F"/>
    <w:rsid w:val="0090670A"/>
    <w:rsid w:val="00906781"/>
    <w:rsid w:val="00911330"/>
    <w:rsid w:val="009211BA"/>
    <w:rsid w:val="00922838"/>
    <w:rsid w:val="009339E2"/>
    <w:rsid w:val="00942CCA"/>
    <w:rsid w:val="00945930"/>
    <w:rsid w:val="00947118"/>
    <w:rsid w:val="009529F5"/>
    <w:rsid w:val="009572C9"/>
    <w:rsid w:val="009607CA"/>
    <w:rsid w:val="0096088C"/>
    <w:rsid w:val="009612A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D1070"/>
    <w:rsid w:val="009D2804"/>
    <w:rsid w:val="009D3350"/>
    <w:rsid w:val="009D66DD"/>
    <w:rsid w:val="009F0766"/>
    <w:rsid w:val="009F19B6"/>
    <w:rsid w:val="009F4B40"/>
    <w:rsid w:val="00A03853"/>
    <w:rsid w:val="00A11F99"/>
    <w:rsid w:val="00A156D9"/>
    <w:rsid w:val="00A243BC"/>
    <w:rsid w:val="00A276C9"/>
    <w:rsid w:val="00A27943"/>
    <w:rsid w:val="00A31D43"/>
    <w:rsid w:val="00A36061"/>
    <w:rsid w:val="00A37EA4"/>
    <w:rsid w:val="00A402C6"/>
    <w:rsid w:val="00A5008B"/>
    <w:rsid w:val="00A65CD4"/>
    <w:rsid w:val="00A70F4C"/>
    <w:rsid w:val="00A736E3"/>
    <w:rsid w:val="00AA6478"/>
    <w:rsid w:val="00AA6A67"/>
    <w:rsid w:val="00AB2670"/>
    <w:rsid w:val="00AB2B0F"/>
    <w:rsid w:val="00AC096E"/>
    <w:rsid w:val="00AC5736"/>
    <w:rsid w:val="00AC636A"/>
    <w:rsid w:val="00AC69B7"/>
    <w:rsid w:val="00AC7691"/>
    <w:rsid w:val="00AD689E"/>
    <w:rsid w:val="00AD7D6F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63A00"/>
    <w:rsid w:val="00B651CC"/>
    <w:rsid w:val="00B73F27"/>
    <w:rsid w:val="00B74C14"/>
    <w:rsid w:val="00B92BAD"/>
    <w:rsid w:val="00B9520A"/>
    <w:rsid w:val="00B979F5"/>
    <w:rsid w:val="00BA07A7"/>
    <w:rsid w:val="00BA3056"/>
    <w:rsid w:val="00BB47F3"/>
    <w:rsid w:val="00BC0513"/>
    <w:rsid w:val="00BC64C3"/>
    <w:rsid w:val="00BD0ED0"/>
    <w:rsid w:val="00BE7259"/>
    <w:rsid w:val="00C10571"/>
    <w:rsid w:val="00C14B11"/>
    <w:rsid w:val="00C24E7B"/>
    <w:rsid w:val="00C36E42"/>
    <w:rsid w:val="00C51DAF"/>
    <w:rsid w:val="00C52425"/>
    <w:rsid w:val="00C555AC"/>
    <w:rsid w:val="00C56CDE"/>
    <w:rsid w:val="00C5764E"/>
    <w:rsid w:val="00C6063B"/>
    <w:rsid w:val="00C64274"/>
    <w:rsid w:val="00C65487"/>
    <w:rsid w:val="00C65987"/>
    <w:rsid w:val="00C74F01"/>
    <w:rsid w:val="00C83D98"/>
    <w:rsid w:val="00C8623D"/>
    <w:rsid w:val="00C87EB0"/>
    <w:rsid w:val="00C9140D"/>
    <w:rsid w:val="00C92139"/>
    <w:rsid w:val="00C94906"/>
    <w:rsid w:val="00CA0830"/>
    <w:rsid w:val="00CA08E7"/>
    <w:rsid w:val="00CA0BB3"/>
    <w:rsid w:val="00CA21F2"/>
    <w:rsid w:val="00CB7617"/>
    <w:rsid w:val="00CC2CF9"/>
    <w:rsid w:val="00CC55CE"/>
    <w:rsid w:val="00CD3458"/>
    <w:rsid w:val="00CE7048"/>
    <w:rsid w:val="00CF0ED4"/>
    <w:rsid w:val="00CF10A0"/>
    <w:rsid w:val="00D043A5"/>
    <w:rsid w:val="00D06294"/>
    <w:rsid w:val="00D16C9A"/>
    <w:rsid w:val="00D170C8"/>
    <w:rsid w:val="00D20CA5"/>
    <w:rsid w:val="00D22F7F"/>
    <w:rsid w:val="00D23039"/>
    <w:rsid w:val="00D27104"/>
    <w:rsid w:val="00D349E7"/>
    <w:rsid w:val="00D35DA8"/>
    <w:rsid w:val="00D41A51"/>
    <w:rsid w:val="00D4719D"/>
    <w:rsid w:val="00D47863"/>
    <w:rsid w:val="00D51301"/>
    <w:rsid w:val="00D619CB"/>
    <w:rsid w:val="00D61DA9"/>
    <w:rsid w:val="00D66E92"/>
    <w:rsid w:val="00D75966"/>
    <w:rsid w:val="00D76DA8"/>
    <w:rsid w:val="00D76EB9"/>
    <w:rsid w:val="00D778DB"/>
    <w:rsid w:val="00D97840"/>
    <w:rsid w:val="00DC0F80"/>
    <w:rsid w:val="00DC1C67"/>
    <w:rsid w:val="00DD7D0E"/>
    <w:rsid w:val="00DF02D4"/>
    <w:rsid w:val="00DF2AD8"/>
    <w:rsid w:val="00DF7FCB"/>
    <w:rsid w:val="00E066BD"/>
    <w:rsid w:val="00E1736F"/>
    <w:rsid w:val="00E17FF5"/>
    <w:rsid w:val="00E26009"/>
    <w:rsid w:val="00E3162A"/>
    <w:rsid w:val="00E36694"/>
    <w:rsid w:val="00E37C85"/>
    <w:rsid w:val="00E407C9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4E"/>
    <w:rsid w:val="00E84A18"/>
    <w:rsid w:val="00E84C25"/>
    <w:rsid w:val="00E84FF9"/>
    <w:rsid w:val="00E93BC2"/>
    <w:rsid w:val="00EA7020"/>
    <w:rsid w:val="00EB2FD4"/>
    <w:rsid w:val="00EB7300"/>
    <w:rsid w:val="00EC5664"/>
    <w:rsid w:val="00EE0CE1"/>
    <w:rsid w:val="00EE1078"/>
    <w:rsid w:val="00EF79B0"/>
    <w:rsid w:val="00F024DB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90DFB"/>
    <w:rsid w:val="00F91089"/>
    <w:rsid w:val="00F94DE6"/>
    <w:rsid w:val="00FA33E4"/>
    <w:rsid w:val="00FB0D99"/>
    <w:rsid w:val="00FB237A"/>
    <w:rsid w:val="00FB27A0"/>
    <w:rsid w:val="00FB523A"/>
    <w:rsid w:val="00FB5471"/>
    <w:rsid w:val="00FB606D"/>
    <w:rsid w:val="00FC1058"/>
    <w:rsid w:val="00FC18D8"/>
    <w:rsid w:val="00FC7BB3"/>
    <w:rsid w:val="00FC7D4F"/>
    <w:rsid w:val="00FD0CCE"/>
    <w:rsid w:val="00FE48C9"/>
    <w:rsid w:val="00FE69B2"/>
    <w:rsid w:val="00FF48B9"/>
    <w:rsid w:val="00FF49EB"/>
    <w:rsid w:val="01680748"/>
    <w:rsid w:val="01A3073B"/>
    <w:rsid w:val="01FB06A5"/>
    <w:rsid w:val="02883661"/>
    <w:rsid w:val="033A18A1"/>
    <w:rsid w:val="04A9605B"/>
    <w:rsid w:val="06264A4A"/>
    <w:rsid w:val="063B5B78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D10D6A"/>
    <w:rsid w:val="0B5E36D3"/>
    <w:rsid w:val="0BB30987"/>
    <w:rsid w:val="0C76193E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AE0195"/>
    <w:rsid w:val="130A103D"/>
    <w:rsid w:val="13985B17"/>
    <w:rsid w:val="14CB5B87"/>
    <w:rsid w:val="152F6116"/>
    <w:rsid w:val="155C3CBE"/>
    <w:rsid w:val="15F93F79"/>
    <w:rsid w:val="162B62D2"/>
    <w:rsid w:val="16693DC2"/>
    <w:rsid w:val="16AD7FB9"/>
    <w:rsid w:val="17EDC74B"/>
    <w:rsid w:val="183F1493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1F71BC3C"/>
    <w:rsid w:val="20BD1F44"/>
    <w:rsid w:val="214135A7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7143262"/>
    <w:rsid w:val="288F7729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276578"/>
    <w:rsid w:val="2FF62EC1"/>
    <w:rsid w:val="2FFC7DCE"/>
    <w:rsid w:val="32C1444F"/>
    <w:rsid w:val="33072028"/>
    <w:rsid w:val="34671B17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BA7D5B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1F15E70"/>
    <w:rsid w:val="42BF5395"/>
    <w:rsid w:val="436C4015"/>
    <w:rsid w:val="43772DF4"/>
    <w:rsid w:val="43C35D22"/>
    <w:rsid w:val="43D025F5"/>
    <w:rsid w:val="441A20EA"/>
    <w:rsid w:val="443469F5"/>
    <w:rsid w:val="44FD328B"/>
    <w:rsid w:val="462F56C6"/>
    <w:rsid w:val="472E36B4"/>
    <w:rsid w:val="47F15329"/>
    <w:rsid w:val="48B76D8F"/>
    <w:rsid w:val="49DD2383"/>
    <w:rsid w:val="4C1F3EFD"/>
    <w:rsid w:val="4CA639F1"/>
    <w:rsid w:val="4CE34B9C"/>
    <w:rsid w:val="4D38031C"/>
    <w:rsid w:val="4EAD471B"/>
    <w:rsid w:val="50EF43CF"/>
    <w:rsid w:val="535E0F14"/>
    <w:rsid w:val="53CD07F8"/>
    <w:rsid w:val="53D31D87"/>
    <w:rsid w:val="557E53F1"/>
    <w:rsid w:val="56226E9B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E661BF"/>
    <w:rsid w:val="5CB33954"/>
    <w:rsid w:val="5D7A3760"/>
    <w:rsid w:val="5F2D2C93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41941AB"/>
    <w:rsid w:val="649E0E16"/>
    <w:rsid w:val="64C701D0"/>
    <w:rsid w:val="65501489"/>
    <w:rsid w:val="65683634"/>
    <w:rsid w:val="657E0B48"/>
    <w:rsid w:val="66264D37"/>
    <w:rsid w:val="662B15AE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D103417"/>
    <w:rsid w:val="6D342528"/>
    <w:rsid w:val="6D73A7A8"/>
    <w:rsid w:val="6DED540B"/>
    <w:rsid w:val="6EC205F2"/>
    <w:rsid w:val="717383BB"/>
    <w:rsid w:val="71EA46D2"/>
    <w:rsid w:val="72556080"/>
    <w:rsid w:val="72FB5971"/>
    <w:rsid w:val="731F3CDF"/>
    <w:rsid w:val="7367CFA8"/>
    <w:rsid w:val="7368470D"/>
    <w:rsid w:val="73762533"/>
    <w:rsid w:val="73F6855F"/>
    <w:rsid w:val="743E50DD"/>
    <w:rsid w:val="74507E06"/>
    <w:rsid w:val="74FB6D7E"/>
    <w:rsid w:val="74FC1995"/>
    <w:rsid w:val="74FD2CB8"/>
    <w:rsid w:val="75ED062E"/>
    <w:rsid w:val="75FF44DB"/>
    <w:rsid w:val="76413F68"/>
    <w:rsid w:val="765C6DB5"/>
    <w:rsid w:val="76B529FB"/>
    <w:rsid w:val="77210E87"/>
    <w:rsid w:val="77B1FF77"/>
    <w:rsid w:val="77FD9F4D"/>
    <w:rsid w:val="785A2E96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F2FE11E"/>
    <w:rsid w:val="7F5F1F28"/>
    <w:rsid w:val="7F6E0A32"/>
    <w:rsid w:val="7F7BA24F"/>
    <w:rsid w:val="7FAB99E8"/>
    <w:rsid w:val="7FB746D5"/>
    <w:rsid w:val="7FDE543C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EE7BAC7D"/>
    <w:rsid w:val="F2EFD742"/>
    <w:rsid w:val="F3DECE3F"/>
    <w:rsid w:val="F77B9D5A"/>
    <w:rsid w:val="F78CA074"/>
    <w:rsid w:val="F7DED60E"/>
    <w:rsid w:val="F86E6AB1"/>
    <w:rsid w:val="F9EAE13C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9"/>
    <w:semiHidden/>
    <w:unhideWhenUsed/>
    <w:qFormat/>
    <w:uiPriority w:val="99"/>
    <w:pPr>
      <w:widowControl/>
      <w:jc w:val="left"/>
    </w:pPr>
  </w:style>
  <w:style w:type="paragraph" w:styleId="5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6">
    <w:name w:val="Plain Text"/>
    <w:basedOn w:val="1"/>
    <w:link w:val="30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7">
    <w:name w:val="Body Text Indent 2"/>
    <w:basedOn w:val="1"/>
    <w:link w:val="33"/>
    <w:qFormat/>
    <w:uiPriority w:val="0"/>
    <w:pPr>
      <w:widowControl/>
      <w:ind w:firstLine="562" w:firstLineChars="200"/>
      <w:jc w:val="left"/>
    </w:pPr>
    <w:rPr>
      <w:b/>
      <w:bCs/>
      <w:sz w:val="28"/>
      <w:szCs w:val="24"/>
    </w:rPr>
  </w:style>
  <w:style w:type="paragraph" w:styleId="8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5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hAnsi="宋体" w:eastAsia="仿宋_GB2312"/>
      <w:b/>
      <w:bCs/>
      <w:kern w:val="0"/>
      <w:sz w:val="32"/>
      <w:szCs w:val="32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4">
    <w:name w:val="Title"/>
    <w:basedOn w:val="1"/>
    <w:next w:val="1"/>
    <w:link w:val="34"/>
    <w:qFormat/>
    <w:uiPriority w:val="0"/>
    <w:pPr>
      <w:widowControl/>
      <w:spacing w:before="240" w:after="60"/>
      <w:jc w:val="center"/>
      <w:outlineLvl w:val="0"/>
    </w:pPr>
    <w:rPr>
      <w:rFonts w:ascii="Cambria" w:hAnsi="Cambria" w:eastAsia="黑体"/>
      <w:b/>
      <w:bCs/>
      <w:sz w:val="52"/>
      <w:szCs w:val="32"/>
    </w:rPr>
  </w:style>
  <w:style w:type="paragraph" w:styleId="15">
    <w:name w:val="annotation subject"/>
    <w:basedOn w:val="4"/>
    <w:next w:val="4"/>
    <w:link w:val="35"/>
    <w:semiHidden/>
    <w:unhideWhenUsed/>
    <w:qFormat/>
    <w:uiPriority w:val="99"/>
    <w:rPr>
      <w:b/>
      <w:bCs/>
    </w:rPr>
  </w:style>
  <w:style w:type="table" w:styleId="17">
    <w:name w:val="Table Grid"/>
    <w:basedOn w:val="1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0"/>
    <w:rPr>
      <w:b/>
      <w:bCs/>
    </w:rPr>
  </w:style>
  <w:style w:type="character" w:styleId="20">
    <w:name w:val="page number"/>
    <w:basedOn w:val="18"/>
    <w:qFormat/>
    <w:uiPriority w:val="0"/>
  </w:style>
  <w:style w:type="character" w:styleId="21">
    <w:name w:val="Hyperlink"/>
    <w:qFormat/>
    <w:uiPriority w:val="99"/>
    <w:rPr>
      <w:color w:val="0000FF"/>
      <w:u w:val="single"/>
    </w:rPr>
  </w:style>
  <w:style w:type="character" w:styleId="22">
    <w:name w:val="annotation reference"/>
    <w:basedOn w:val="18"/>
    <w:semiHidden/>
    <w:unhideWhenUsed/>
    <w:qFormat/>
    <w:uiPriority w:val="99"/>
    <w:rPr>
      <w:sz w:val="21"/>
      <w:szCs w:val="21"/>
    </w:rPr>
  </w:style>
  <w:style w:type="character" w:customStyle="1" w:styleId="23">
    <w:name w:val="标题 1 Char"/>
    <w:basedOn w:val="18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4">
    <w:name w:val="标题 2 Char"/>
    <w:basedOn w:val="1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页眉 Char"/>
    <w:basedOn w:val="18"/>
    <w:link w:val="10"/>
    <w:qFormat/>
    <w:uiPriority w:val="0"/>
    <w:rPr>
      <w:sz w:val="18"/>
      <w:szCs w:val="18"/>
    </w:rPr>
  </w:style>
  <w:style w:type="character" w:customStyle="1" w:styleId="26">
    <w:name w:val="页脚 Char"/>
    <w:basedOn w:val="18"/>
    <w:link w:val="9"/>
    <w:qFormat/>
    <w:uiPriority w:val="99"/>
    <w:rPr>
      <w:sz w:val="18"/>
      <w:szCs w:val="18"/>
    </w:rPr>
  </w:style>
  <w:style w:type="paragraph" w:customStyle="1" w:styleId="27">
    <w:name w:val="样式1"/>
    <w:basedOn w:val="1"/>
    <w:qFormat/>
    <w:uiPriority w:val="0"/>
    <w:pPr>
      <w:spacing w:line="600" w:lineRule="exact"/>
      <w:ind w:firstLine="200" w:firstLineChars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28">
    <w:name w:val="批注框文本 Char"/>
    <w:basedOn w:val="18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9">
    <w:name w:val="批注文字 Char"/>
    <w:basedOn w:val="18"/>
    <w:link w:val="4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30">
    <w:name w:val="纯文本 Char"/>
    <w:basedOn w:val="18"/>
    <w:link w:val="6"/>
    <w:qFormat/>
    <w:uiPriority w:val="0"/>
    <w:rPr>
      <w:rFonts w:ascii="仿宋_GB2312" w:hAnsi="Times New Roman" w:eastAsia="宋体" w:cs="Times New Roman"/>
      <w:sz w:val="24"/>
      <w:szCs w:val="20"/>
    </w:rPr>
  </w:style>
  <w:style w:type="paragraph" w:customStyle="1" w:styleId="31">
    <w:name w:val="_Style 8"/>
    <w:basedOn w:val="1"/>
    <w:next w:val="1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32">
    <w:name w:val="List Paragraph"/>
    <w:basedOn w:val="1"/>
    <w:qFormat/>
    <w:uiPriority w:val="34"/>
    <w:pPr>
      <w:ind w:firstLine="420" w:firstLineChars="200"/>
    </w:pPr>
    <w:rPr>
      <w:rFonts w:ascii="仿宋_GB2312" w:eastAsia="仿宋_GB2312"/>
      <w:spacing w:val="-4"/>
      <w:sz w:val="32"/>
    </w:rPr>
  </w:style>
  <w:style w:type="character" w:customStyle="1" w:styleId="33">
    <w:name w:val="正文文本缩进 2 Char"/>
    <w:basedOn w:val="18"/>
    <w:link w:val="7"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34">
    <w:name w:val="标题 Char"/>
    <w:basedOn w:val="18"/>
    <w:link w:val="14"/>
    <w:qFormat/>
    <w:uiPriority w:val="0"/>
    <w:rPr>
      <w:rFonts w:ascii="Cambria" w:hAnsi="Cambria" w:eastAsia="黑体" w:cs="Times New Roman"/>
      <w:b/>
      <w:bCs/>
      <w:sz w:val="52"/>
      <w:szCs w:val="32"/>
    </w:rPr>
  </w:style>
  <w:style w:type="character" w:customStyle="1" w:styleId="35">
    <w:name w:val="批注主题 Char"/>
    <w:basedOn w:val="29"/>
    <w:link w:val="15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character" w:customStyle="1" w:styleId="36">
    <w:name w:val="title1"/>
    <w:qFormat/>
    <w:uiPriority w:val="0"/>
    <w:rPr>
      <w:b/>
      <w:bCs/>
      <w:color w:val="999900"/>
      <w:sz w:val="24"/>
      <w:szCs w:val="24"/>
    </w:rPr>
  </w:style>
  <w:style w:type="paragraph" w:customStyle="1" w:styleId="37">
    <w:name w:val="TOC 标题1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38">
    <w:name w:val="Revision"/>
    <w:hidden/>
    <w:unhideWhenUsed/>
    <w:qFormat/>
    <w:uiPriority w:val="99"/>
    <w:pPr>
      <w:spacing w:after="0" w:line="240" w:lineRule="auto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1FBB45-0F1B-4EA7-AFB2-54E7202678A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6</Pages>
  <Words>1873</Words>
  <Characters>3182</Characters>
  <Lines>25</Lines>
  <Paragraphs>7</Paragraphs>
  <TotalTime>8</TotalTime>
  <ScaleCrop>false</ScaleCrop>
  <LinksUpToDate>false</LinksUpToDate>
  <CharactersWithSpaces>3375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2025-09-11T01:22:00Z</dcterms:created>
  <dc:creator>胡胜链</dc:creator>
  <cp:lastModifiedBy>葛格</cp:lastModifiedBy>
  <cp:lastPrinted>2022-01-28T09:53:00Z</cp:lastPrinted>
  <dcterms:modified xsi:type="dcterms:W3CDTF">2025-09-17T09:08:29Z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3737223F30404DB485E956975012F414_13</vt:lpwstr>
  </property>
  <property fmtid="{D5CDD505-2E9C-101B-9397-08002B2CF9AE}" pid="4" name="KSOTemplateDocerSaveRecord">
    <vt:lpwstr>eyJoZGlkIjoiMzA1N2FkYjAwMjEzMzYyZGM5Mjc5MzliZjJiMGU4N2QiLCJ1c2VySWQiOiIxNjUxNjc4MTQzIn0=</vt:lpwstr>
  </property>
</Properties>
</file>