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631D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color w:val="auto"/>
          <w:sz w:val="32"/>
          <w:szCs w:val="32"/>
        </w:rPr>
        <w:t>（单位提名）</w:t>
      </w:r>
    </w:p>
    <w:p w14:paraId="68DD0DE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4"/>
        <w:tblW w:w="963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541"/>
      </w:tblGrid>
      <w:tr w14:paraId="0A8B1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98" w:type="dxa"/>
            <w:vAlign w:val="center"/>
          </w:tcPr>
          <w:p w14:paraId="036A2903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541" w:type="dxa"/>
            <w:vAlign w:val="center"/>
          </w:tcPr>
          <w:p w14:paraId="1AB41B61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基于仿人智脑的数智中药大健康产业技术体系及其应用</w:t>
            </w:r>
          </w:p>
        </w:tc>
      </w:tr>
      <w:tr w14:paraId="272A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8" w:type="dxa"/>
            <w:vAlign w:val="center"/>
          </w:tcPr>
          <w:p w14:paraId="13F3F5A8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541" w:type="dxa"/>
            <w:vAlign w:val="center"/>
          </w:tcPr>
          <w:p w14:paraId="1123D838">
            <w:pPr>
              <w:spacing w:before="240" w:after="0" w:line="360" w:lineRule="auto"/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0BE6C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98" w:type="dxa"/>
            <w:vAlign w:val="center"/>
          </w:tcPr>
          <w:p w14:paraId="28604B8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13D5A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541" w:type="dxa"/>
            <w:vAlign w:val="center"/>
          </w:tcPr>
          <w:p w14:paraId="462F82F0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主要知识产权和标准规范目录、代表性论文专著目录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</w:p>
          <w:p w14:paraId="5647B3D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1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①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发明专利：浙江大学，一种中药生产环境巡检机器人及微生物含量测定方法，ZL202410066521.0</w:t>
            </w:r>
          </w:p>
          <w:p w14:paraId="56300596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2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②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发明专利：浙江大学，药品生产环境污染警戒数智化分析软件机器人系统及方法，ZL202410994909.7</w:t>
            </w:r>
          </w:p>
          <w:p w14:paraId="175B3281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3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③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发明专利：浙江大学，一种基于斑马鱼炎症性肠病模型筛选药效物质的方法，ZL202011239439.1</w:t>
            </w:r>
          </w:p>
          <w:p w14:paraId="578C924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4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④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发明专利：浙江寿仙谷植物药研究院有限公司、浙江寿仙谷医药股份有限公司、金华寿仙谷药业有限公司，一种基于关联分析的植物药流化床制粒工艺优化方法，ZL202410482468.2</w:t>
            </w:r>
          </w:p>
          <w:p w14:paraId="5B2B755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5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⑤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发明专利：浙江寿仙谷医药股份有限公司、金华寿仙谷药业有限公司、浙江寿仙谷植物药研究院有限公司，一种智慧农业智能稳压喷灌系统及方法，ZL202111586040.5</w:t>
            </w:r>
          </w:p>
          <w:p w14:paraId="74D9D3BC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6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⑥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发明专利：浙江大学，一种基于深度学习的中药制药过程质量检测机器人及方法，ZL202310311070.8</w:t>
            </w:r>
          </w:p>
          <w:p w14:paraId="20F3A25E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7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⑦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团体标准：浙江制造标准 T/ZZB 1643—2020《银杏叶片》</w:t>
            </w:r>
          </w:p>
          <w:p w14:paraId="236B1346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8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⑧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论文：Yu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M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Li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W,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Yu Y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et al. </w:t>
            </w:r>
            <w:r>
              <w:rPr>
                <w:rFonts w:eastAsia="仿宋_GB2312"/>
                <w:bCs/>
                <w:sz w:val="24"/>
                <w:szCs w:val="24"/>
              </w:rPr>
              <w:t>Deep learning large-scale drug discovery and repurposing. Nature Computational Science, 2024, 4:600-614.</w:t>
            </w:r>
          </w:p>
          <w:p w14:paraId="025EEC7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9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⑨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论文：Liu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Zhang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Li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X, et al.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Wogonin effects on the efflux transporters BCRP and MRP2, explain its effectiveness in ulcerative colitis: Implications for metabolic and transport interactions. </w:t>
            </w:r>
            <w:r>
              <w:rPr>
                <w:rFonts w:eastAsia="仿宋_GB2312"/>
                <w:bCs/>
                <w:sz w:val="24"/>
                <w:szCs w:val="24"/>
              </w:rPr>
              <w:t>Pharmacological Research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2025, 212: 107570.</w:t>
            </w:r>
          </w:p>
          <w:p w14:paraId="3E5982FF">
            <w:pPr>
              <w:spacing w:after="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eastAsia="仿宋_GB2312"/>
                <w:bCs/>
                <w:sz w:val="24"/>
                <w:szCs w:val="24"/>
              </w:rPr>
              <w:instrText xml:space="preserve">= 10 \* GB3</w:instrText>
            </w:r>
            <w:r>
              <w:rPr>
                <w:rFonts w:eastAsia="仿宋_GB2312"/>
                <w:bCs/>
                <w:sz w:val="24"/>
                <w:szCs w:val="24"/>
              </w:rPr>
              <w:instrText xml:space="preserve"> </w:instrText>
            </w:r>
            <w:r>
              <w:rPr>
                <w:rFonts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eastAsia="仿宋_GB2312"/>
                <w:bCs/>
                <w:sz w:val="24"/>
                <w:szCs w:val="24"/>
              </w:rPr>
              <w:t>⑩</w:t>
            </w:r>
            <w:r>
              <w:rPr>
                <w:rFonts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eastAsia="仿宋_GB2312"/>
                <w:bCs/>
                <w:sz w:val="24"/>
                <w:szCs w:val="24"/>
              </w:rPr>
              <w:t>论文：Tao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Y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Liu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Q</w:t>
            </w:r>
            <w:r>
              <w:rPr>
                <w:rFonts w:hint="eastAsia" w:eastAsia="仿宋_GB2312"/>
                <w:bCs/>
                <w:sz w:val="24"/>
                <w:szCs w:val="24"/>
              </w:rPr>
              <w:t>, Cheng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 N.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Sea hedgehog-inspired surface-enhanced Raman scattering biosensor probe for ultrasensitive determination of Staphylococcus aureus in food supplements. </w:t>
            </w:r>
            <w:r>
              <w:rPr>
                <w:rFonts w:eastAsia="仿宋_GB2312"/>
                <w:bCs/>
                <w:sz w:val="24"/>
                <w:szCs w:val="24"/>
              </w:rPr>
              <w:t>Biosensors and Bioelectronics,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2024, 252: 116146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</w:p>
          <w:p w14:paraId="220A9AF1">
            <w:pPr>
              <w:spacing w:after="0"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D36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098" w:type="dxa"/>
            <w:tcBorders>
              <w:right w:val="single" w:color="auto" w:sz="4" w:space="0"/>
            </w:tcBorders>
            <w:vAlign w:val="center"/>
          </w:tcPr>
          <w:p w14:paraId="2FA0CC0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541" w:type="dxa"/>
            <w:tcBorders>
              <w:left w:val="single" w:color="auto" w:sz="4" w:space="0"/>
            </w:tcBorders>
            <w:vAlign w:val="center"/>
          </w:tcPr>
          <w:p w14:paraId="46C0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auto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程宁涛，排名1，副研究员，浙江大学；</w:t>
            </w:r>
          </w:p>
          <w:p w14:paraId="56FBC12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王毅，排名2，教授，浙江大学；</w:t>
            </w:r>
          </w:p>
          <w:p w14:paraId="132D139D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李振皓，排名3，研究员，浙江寿仙谷医药股份有限公司；</w:t>
            </w:r>
          </w:p>
          <w:p w14:paraId="72EE1438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刘中秋，排名4，教授，广州中医药大学；</w:t>
            </w:r>
          </w:p>
          <w:p w14:paraId="39F89F8A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叶剑锋，排名5，正高级工程师，浙江康恩贝制药股份有限公司；</w:t>
            </w:r>
          </w:p>
          <w:p w14:paraId="3E4A4578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陶益，排名6，副教授，浙江工业大学；</w:t>
            </w:r>
          </w:p>
          <w:p w14:paraId="7948FECB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茹晨雷，排名7，工程师，浙江寿仙谷医药股份有限公司；</w:t>
            </w:r>
          </w:p>
          <w:p w14:paraId="7FD8EDC5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仲怿，排名8，副研究员，浙江大学；</w:t>
            </w:r>
          </w:p>
          <w:p w14:paraId="082E9E4B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赵璐，排名9，副教授，浙江大学；</w:t>
            </w:r>
          </w:p>
          <w:p w14:paraId="76A4F43B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徐靖，排名1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，副研究员，</w:t>
            </w:r>
            <w:r>
              <w:rPr>
                <w:rFonts w:eastAsia="仿宋_GB2312"/>
                <w:bCs/>
                <w:sz w:val="24"/>
                <w:szCs w:val="24"/>
              </w:rPr>
              <w:t>浙江寿仙谷医药股份有限公司；</w:t>
            </w:r>
          </w:p>
          <w:p w14:paraId="6E606189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杨继鸿，排名11，副研究员，浙江寿仙谷医药股份有限公司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70FA8ECD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余敏，排名1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，博士，浙江大学；</w:t>
            </w:r>
          </w:p>
          <w:p w14:paraId="435634D8">
            <w:pPr>
              <w:spacing w:line="240" w:lineRule="auto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朱炳洁，排名13，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博士</w:t>
            </w:r>
            <w:r>
              <w:rPr>
                <w:rFonts w:eastAsia="仿宋_GB2312"/>
                <w:bCs/>
                <w:sz w:val="24"/>
                <w:szCs w:val="24"/>
              </w:rPr>
              <w:t>，浙江大学</w:t>
            </w:r>
          </w:p>
        </w:tc>
      </w:tr>
      <w:tr w14:paraId="5D3D4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98" w:type="dxa"/>
            <w:tcBorders>
              <w:right w:val="single" w:color="auto" w:sz="4" w:space="0"/>
            </w:tcBorders>
            <w:vAlign w:val="center"/>
          </w:tcPr>
          <w:p w14:paraId="7DE64B8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541" w:type="dxa"/>
            <w:tcBorders>
              <w:left w:val="single" w:color="auto" w:sz="4" w:space="0"/>
            </w:tcBorders>
            <w:vAlign w:val="center"/>
          </w:tcPr>
          <w:p w14:paraId="06EC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auto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1.单位名称：浙江大学</w:t>
            </w:r>
          </w:p>
          <w:p w14:paraId="291A6D00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2.单位名称：浙江寿仙谷医药股份有限公司</w:t>
            </w:r>
          </w:p>
          <w:p w14:paraId="75D45CE2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3.单位名称：广州中医药大学</w:t>
            </w:r>
          </w:p>
          <w:p w14:paraId="6C0CF763"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4.单位名称：浙江工业大学</w:t>
            </w:r>
          </w:p>
          <w:p w14:paraId="6EFC39AB">
            <w:pPr>
              <w:spacing w:line="240" w:lineRule="auto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5.单位名称：浙江康恩贝制药股份有限公司</w:t>
            </w:r>
          </w:p>
        </w:tc>
      </w:tr>
      <w:tr w14:paraId="310A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 w14:paraId="11EB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541" w:type="dxa"/>
            <w:vAlign w:val="center"/>
          </w:tcPr>
          <w:p w14:paraId="138D5BE0">
            <w:pPr>
              <w:spacing w:before="240" w:after="0" w:line="360" w:lineRule="auto"/>
              <w:jc w:val="center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ascii="Arial Unicode MS" w:hAnsi="宋体" w:eastAsia="仿宋_GB2312" w:cstheme="minorBidi"/>
                <w:b w:val="0"/>
                <w:color w:val="auto"/>
                <w:sz w:val="28"/>
              </w:rPr>
              <w:t>浙江大学</w:t>
            </w:r>
          </w:p>
        </w:tc>
      </w:tr>
      <w:tr w14:paraId="2073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</w:trPr>
        <w:tc>
          <w:tcPr>
            <w:tcW w:w="2098" w:type="dxa"/>
            <w:vAlign w:val="center"/>
          </w:tcPr>
          <w:p w14:paraId="73C1298E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541" w:type="dxa"/>
            <w:vAlign w:val="center"/>
          </w:tcPr>
          <w:p w14:paraId="28CA4721">
            <w:pPr>
              <w:pStyle w:val="9"/>
              <w:spacing w:before="240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项目针对中药及大健康产品研发领域急需破解的科技难题，在国家科技重大专项等课题资助下，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首创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医药生产环境风险数智防控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中药功效物质多尺度智能筛选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机器人平台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建立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了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全产业链智能整合感知与协同管控系统，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发展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形成以功效为导向的中药大健康产品数智化研发新模式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，在Nature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子刊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高水平期刊发表相关论文50篇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73177B07">
            <w:pPr>
              <w:pStyle w:val="9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项目已转化应用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，研发成功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铁皮石斛含片等中药大健康产品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10余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个，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并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实现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肠炎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宁片等9个中药大品种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升级，获授权发明专利23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件、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软件著作权18个，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取得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显著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经济和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效益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0C553F6A">
            <w:pPr>
              <w:pStyle w:val="9"/>
              <w:ind w:firstLine="476" w:firstLineChars="200"/>
              <w:jc w:val="both"/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由王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广基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、田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金洲、陈士林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院士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中医药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专家组成的鉴定委员会认为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该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：“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实现了我国中药工业环境风险智能防控技术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‘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零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的突破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”；“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在仿人智能医药科技方面取得重大方法学创新和关键性技术突破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”；“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达到本领域国际领先水平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。</w:t>
            </w:r>
          </w:p>
          <w:p w14:paraId="546421D9">
            <w:pPr>
              <w:pStyle w:val="9"/>
              <w:spacing w:after="240"/>
              <w:ind w:firstLine="476" w:firstLineChars="200"/>
              <w:jc w:val="both"/>
              <w:rPr>
                <w:rStyle w:val="6"/>
                <w:rFonts w:ascii="Times New Roman" w:hAnsi="Times New Roman" w:eastAsia="仿宋_GB2312" w:cs="Times New Roman"/>
                <w:b w:val="0"/>
                <w:bCs w:val="0"/>
                <w:color w:val="000000"/>
                <w:spacing w:val="-1"/>
              </w:rPr>
            </w:pPr>
            <w:r>
              <w:rPr>
                <w:rFonts w:hint="eastAsia" w:eastAsia="仿宋_GB2312"/>
                <w:spacing w:val="-1"/>
                <w:sz w:val="24"/>
                <w:szCs w:val="24"/>
              </w:rPr>
              <w:t>特</w:t>
            </w:r>
            <w:r>
              <w:rPr>
                <w:rFonts w:eastAsia="仿宋_GB2312"/>
                <w:spacing w:val="-1"/>
                <w:sz w:val="24"/>
                <w:szCs w:val="24"/>
              </w:rPr>
              <w:t>提名该项目</w:t>
            </w:r>
            <w:r>
              <w:rPr>
                <w:rFonts w:hint="eastAsia" w:eastAsia="仿宋_GB2312"/>
                <w:spacing w:val="-1"/>
                <w:sz w:val="24"/>
                <w:szCs w:val="24"/>
              </w:rPr>
              <w:t>参评浙江省</w:t>
            </w:r>
            <w:r>
              <w:rPr>
                <w:rFonts w:eastAsia="仿宋_GB2312"/>
                <w:spacing w:val="-1"/>
                <w:sz w:val="24"/>
                <w:szCs w:val="24"/>
              </w:rPr>
              <w:t>科学技术进步奖</w:t>
            </w:r>
            <w:r>
              <w:rPr>
                <w:rFonts w:hint="eastAsia" w:eastAsia="仿宋_GB2312"/>
                <w:spacing w:val="-1"/>
                <w:sz w:val="24"/>
                <w:szCs w:val="24"/>
              </w:rPr>
              <w:t>一等奖</w:t>
            </w:r>
            <w:r>
              <w:rPr>
                <w:rFonts w:eastAsia="仿宋_GB2312"/>
                <w:spacing w:val="-1"/>
                <w:sz w:val="24"/>
                <w:szCs w:val="24"/>
              </w:rPr>
              <w:t>。</w:t>
            </w:r>
          </w:p>
        </w:tc>
      </w:tr>
    </w:tbl>
    <w:p w14:paraId="28F9F5BE"/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4"/>
    <w:rsid w:val="00070340"/>
    <w:rsid w:val="000E60B2"/>
    <w:rsid w:val="00145D9D"/>
    <w:rsid w:val="00296514"/>
    <w:rsid w:val="003A48CB"/>
    <w:rsid w:val="004509F4"/>
    <w:rsid w:val="00451627"/>
    <w:rsid w:val="00467F7F"/>
    <w:rsid w:val="006E2BF9"/>
    <w:rsid w:val="007C7A37"/>
    <w:rsid w:val="00815F77"/>
    <w:rsid w:val="00907772"/>
    <w:rsid w:val="00A27170"/>
    <w:rsid w:val="00A50B59"/>
    <w:rsid w:val="00A50C86"/>
    <w:rsid w:val="00B701CB"/>
    <w:rsid w:val="00B7581F"/>
    <w:rsid w:val="00C17C6D"/>
    <w:rsid w:val="00C55CE1"/>
    <w:rsid w:val="00C8668D"/>
    <w:rsid w:val="00DA465C"/>
    <w:rsid w:val="00EF456A"/>
    <w:rsid w:val="00FA235F"/>
    <w:rsid w:val="00FC6CA9"/>
    <w:rsid w:val="00FE1B8C"/>
    <w:rsid w:val="4A4C13A9"/>
    <w:rsid w:val="DFE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宋体" w:eastAsia="Arial Unicode MS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Header Char"/>
    <w:basedOn w:val="5"/>
    <w:link w:val="3"/>
    <w:qFormat/>
    <w:uiPriority w:val="99"/>
    <w:rPr>
      <w:rFonts w:ascii="Times New Roman" w:hAnsi="Times New Roman" w:eastAsia="宋体" w:cs="Times New Roman"/>
      <w:sz w:val="21"/>
      <w:szCs w:val="20"/>
    </w:rPr>
  </w:style>
  <w:style w:type="character" w:customStyle="1" w:styleId="8">
    <w:name w:val="Footer Char"/>
    <w:basedOn w:val="5"/>
    <w:link w:val="2"/>
    <w:qFormat/>
    <w:uiPriority w:val="99"/>
    <w:rPr>
      <w:rFonts w:ascii="Times New Roman" w:hAnsi="Times New Roman" w:eastAsia="宋体" w:cs="Times New Roman"/>
      <w:sz w:val="21"/>
      <w:szCs w:val="20"/>
    </w:rPr>
  </w:style>
  <w:style w:type="paragraph" w:customStyle="1" w:styleId="9">
    <w:name w:val="正文1"/>
    <w:semiHidden/>
    <w:qFormat/>
    <w:uiPriority w:val="0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hAnsi="Arial" w:eastAsia="Times New Roman" w:cs="Arial"/>
      <w:color w:val="00000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1764</Characters>
  <Lines>14</Lines>
  <Paragraphs>3</Paragraphs>
  <TotalTime>12</TotalTime>
  <ScaleCrop>false</ScaleCrop>
  <LinksUpToDate>false</LinksUpToDate>
  <CharactersWithSpaces>1845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2025-09-10T11:43:00Z</dcterms:created>
  <dc:creator>Nick C.</dc:creator>
  <cp:lastModifiedBy>葛格</cp:lastModifiedBy>
  <cp:lastPrinted>2025-09-10T17:02:00Z</cp:lastPrinted>
  <dcterms:modified xsi:type="dcterms:W3CDTF">2025-09-16T02:03:35Z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0DEEAFF52B664D1FA3BBC058CC03E6FC_13</vt:lpwstr>
  </property>
</Properties>
</file>