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3E6E3">
      <w:pPr>
        <w:jc w:val="center"/>
        <w:rPr>
          <w:rFonts w:ascii="Times New Roman" w:hAnsi="Times New Roman" w:eastAsia="方正小标宋简体" w:cs="Times New Roman"/>
          <w:sz w:val="36"/>
          <w:szCs w:val="36"/>
        </w:rPr>
      </w:pPr>
      <w:bookmarkStart w:id="4" w:name="_GoBack"/>
      <w:bookmarkEnd w:id="4"/>
      <w:r>
        <w:rPr>
          <w:rFonts w:ascii="Times New Roman" w:hAnsi="Times New Roman" w:eastAsia="方正小标宋简体" w:cs="Times New Roman"/>
          <w:bCs/>
          <w:sz w:val="36"/>
          <w:szCs w:val="36"/>
        </w:rPr>
        <w:t>浙江省科学技术奖公示信息表</w:t>
      </w:r>
      <w:r>
        <w:rPr>
          <w:rFonts w:ascii="Times New Roman" w:hAnsi="Times New Roman" w:eastAsia="FangSong_GB2312" w:cs="Times New Roman"/>
          <w:bCs/>
          <w:sz w:val="32"/>
          <w:szCs w:val="32"/>
        </w:rPr>
        <w:t>（单位提名）</w:t>
      </w:r>
    </w:p>
    <w:p w14:paraId="3A7C571F">
      <w:pPr>
        <w:spacing w:line="440" w:lineRule="exact"/>
        <w:rPr>
          <w:rFonts w:ascii="Times New Roman" w:hAnsi="Times New Roman" w:eastAsia="FangSong_GB2312" w:cs="Times New Roman"/>
          <w:sz w:val="28"/>
        </w:rPr>
      </w:pPr>
      <w:r>
        <w:rPr>
          <w:rFonts w:ascii="Times New Roman" w:hAnsi="Times New Roman" w:eastAsia="FangSong_GB2312" w:cs="Times New Roman"/>
          <w:sz w:val="28"/>
        </w:rPr>
        <w:t>提名奖项：自然科学奖</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8FC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505D77BD">
            <w:pPr>
              <w:jc w:val="center"/>
              <w:rPr>
                <w:rFonts w:ascii="Times New Roman" w:hAnsi="Times New Roman" w:eastAsia="FangSong_GB2312" w:cs="Times New Roman"/>
                <w:sz w:val="28"/>
                <w:szCs w:val="20"/>
              </w:rPr>
            </w:pPr>
            <w:r>
              <w:rPr>
                <w:rFonts w:ascii="Times New Roman" w:hAnsi="Times New Roman" w:eastAsia="FangSong_GB2312" w:cs="Times New Roman"/>
                <w:sz w:val="28"/>
              </w:rPr>
              <w:t>成果名称</w:t>
            </w:r>
          </w:p>
        </w:tc>
        <w:tc>
          <w:tcPr>
            <w:tcW w:w="6237" w:type="dxa"/>
            <w:vAlign w:val="center"/>
          </w:tcPr>
          <w:p w14:paraId="1DDC94A6">
            <w:pPr>
              <w:jc w:val="left"/>
              <w:rPr>
                <w:rFonts w:ascii="Times New Roman" w:hAnsi="Times New Roman" w:eastAsia="FangSong_GB2312" w:cs="Times New Roman"/>
                <w:sz w:val="28"/>
                <w:szCs w:val="20"/>
              </w:rPr>
            </w:pPr>
            <w:r>
              <w:rPr>
                <w:rFonts w:hint="eastAsia" w:ascii="Times New Roman" w:hAnsi="Times New Roman" w:eastAsia="FangSong_GB2312" w:cs="Times New Roman"/>
                <w:sz w:val="28"/>
                <w:szCs w:val="20"/>
              </w:rPr>
              <w:t>中医药对多囊卵巢综合征“卵泡—子代”代际效应的级联保护机制</w:t>
            </w:r>
          </w:p>
        </w:tc>
      </w:tr>
      <w:tr w14:paraId="20D8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B9881AE">
            <w:pPr>
              <w:jc w:val="center"/>
              <w:rPr>
                <w:rFonts w:ascii="Times New Roman" w:hAnsi="Times New Roman" w:eastAsia="FangSong_GB2312" w:cs="Times New Roman"/>
                <w:sz w:val="28"/>
                <w:szCs w:val="20"/>
              </w:rPr>
            </w:pPr>
            <w:r>
              <w:rPr>
                <w:rFonts w:ascii="Times New Roman" w:hAnsi="Times New Roman" w:eastAsia="FangSong_GB2312" w:cs="Times New Roman"/>
                <w:sz w:val="28"/>
              </w:rPr>
              <w:t>提名等级</w:t>
            </w:r>
          </w:p>
        </w:tc>
        <w:tc>
          <w:tcPr>
            <w:tcW w:w="6237" w:type="dxa"/>
            <w:vAlign w:val="center"/>
          </w:tcPr>
          <w:p w14:paraId="7740BE6F">
            <w:pPr>
              <w:jc w:val="left"/>
              <w:rPr>
                <w:rFonts w:ascii="Times New Roman" w:hAnsi="Times New Roman" w:eastAsia="FangSong_GB2312" w:cs="Times New Roman"/>
                <w:sz w:val="28"/>
                <w:szCs w:val="20"/>
              </w:rPr>
            </w:pPr>
            <w:r>
              <w:rPr>
                <w:rFonts w:hint="eastAsia" w:ascii="Times New Roman" w:hAnsi="Times New Roman" w:eastAsia="FangSong_GB2312" w:cs="Times New Roman"/>
                <w:sz w:val="28"/>
                <w:szCs w:val="20"/>
              </w:rPr>
              <w:t>二等奖</w:t>
            </w:r>
          </w:p>
        </w:tc>
      </w:tr>
      <w:tr w14:paraId="41E30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3AE51201">
            <w:pPr>
              <w:spacing w:line="440" w:lineRule="exact"/>
              <w:jc w:val="center"/>
              <w:rPr>
                <w:rFonts w:ascii="Times New Roman" w:hAnsi="Times New Roman" w:eastAsia="FangSong_GB2312" w:cs="Times New Roman"/>
                <w:bCs/>
                <w:sz w:val="28"/>
              </w:rPr>
            </w:pPr>
            <w:r>
              <w:rPr>
                <w:rFonts w:ascii="Times New Roman" w:hAnsi="Times New Roman" w:eastAsia="FangSong_GB2312" w:cs="Times New Roman"/>
                <w:bCs/>
                <w:sz w:val="28"/>
              </w:rPr>
              <w:t>提名书</w:t>
            </w:r>
          </w:p>
          <w:p w14:paraId="23E305A3">
            <w:pPr>
              <w:spacing w:line="440" w:lineRule="exact"/>
              <w:jc w:val="center"/>
              <w:rPr>
                <w:rFonts w:ascii="Times New Roman" w:hAnsi="Times New Roman" w:eastAsia="FangSong_GB2312" w:cs="Times New Roman"/>
                <w:bCs/>
                <w:sz w:val="28"/>
              </w:rPr>
            </w:pPr>
            <w:r>
              <w:rPr>
                <w:rFonts w:ascii="Times New Roman" w:hAnsi="Times New Roman" w:eastAsia="FangSong_GB2312" w:cs="Times New Roman"/>
                <w:bCs/>
                <w:sz w:val="28"/>
              </w:rPr>
              <w:t>相关内容</w:t>
            </w:r>
          </w:p>
        </w:tc>
        <w:tc>
          <w:tcPr>
            <w:tcW w:w="6237" w:type="dxa"/>
            <w:vAlign w:val="center"/>
          </w:tcPr>
          <w:p w14:paraId="55DB94C2">
            <w:pPr>
              <w:rPr>
                <w:rFonts w:ascii="仿宋" w:hAnsi="仿宋" w:eastAsia="仿宋" w:cs="Times New Roman"/>
                <w:b/>
                <w:sz w:val="24"/>
              </w:rPr>
            </w:pPr>
            <w:bookmarkStart w:id="0" w:name="OLE_LINK8"/>
            <w:bookmarkStart w:id="1" w:name="OLE_LINK9"/>
            <w:r>
              <w:rPr>
                <w:rFonts w:hint="eastAsia" w:ascii="仿宋" w:hAnsi="仿宋" w:eastAsia="仿宋" w:cs="Times New Roman"/>
                <w:b/>
                <w:sz w:val="24"/>
              </w:rPr>
              <w:t>代表性论文专著目录：</w:t>
            </w:r>
          </w:p>
          <w:p w14:paraId="62B18F13">
            <w:pPr>
              <w:numPr>
                <w:ilvl w:val="0"/>
                <w:numId w:val="1"/>
              </w:numPr>
              <w:rPr>
                <w:rFonts w:ascii="仿宋" w:hAnsi="仿宋" w:eastAsia="仿宋" w:cs="Times New Roman"/>
                <w:bCs/>
                <w:color w:val="000000" w:themeColor="text1"/>
                <w:sz w:val="24"/>
                <w14:textFill>
                  <w14:solidFill>
                    <w14:schemeClr w14:val="tx1"/>
                  </w14:solidFill>
                </w14:textFill>
              </w:rPr>
            </w:pPr>
            <w:r>
              <w:rPr>
                <w:rFonts w:ascii="仿宋" w:hAnsi="仿宋" w:eastAsia="仿宋" w:cs="Times New Roman"/>
                <w:bCs/>
                <w:color w:val="000000" w:themeColor="text1"/>
                <w:sz w:val="24"/>
                <w14:textFill>
                  <w14:solidFill>
                    <w14:schemeClr w14:val="tx1"/>
                  </w14:solidFill>
                </w14:textFill>
              </w:rPr>
              <w:t xml:space="preserve">Zhang Q, Ren J, Wang F, Li M, Pan M, Zhang H, Qu F. </w:t>
            </w:r>
            <w:r>
              <w:rPr>
                <w:rFonts w:hint="eastAsia" w:ascii="仿宋" w:hAnsi="仿宋" w:eastAsia="仿宋" w:cs="Times New Roman"/>
                <w:bCs/>
                <w:color w:val="000000" w:themeColor="text1"/>
                <w:sz w:val="24"/>
                <w14:textFill>
                  <w14:solidFill>
                    <w14:schemeClr w14:val="tx1"/>
                  </w14:solidFill>
                </w14:textFill>
              </w:rPr>
              <w:t>Chinese herbal medicine alleviates the pathogenesis of polycystic ovary syndrome by improving oxidative stress and glucose metabolism via mitochondrial Sirtuin 3 signaling.</w:t>
            </w:r>
            <w:bookmarkEnd w:id="0"/>
            <w:bookmarkEnd w:id="1"/>
            <w:r>
              <w:rPr>
                <w:rFonts w:hint="eastAsia" w:ascii="仿宋" w:hAnsi="仿宋" w:eastAsia="仿宋" w:cs="Times New Roman"/>
                <w:bCs/>
                <w:color w:val="000000" w:themeColor="text1"/>
                <w:sz w:val="24"/>
                <w14:textFill>
                  <w14:solidFill>
                    <w14:schemeClr w14:val="tx1"/>
                  </w14:solidFill>
                </w14:textFill>
              </w:rPr>
              <w:t xml:space="preserve"> Phytomedicine</w:t>
            </w:r>
            <w:r>
              <w:rPr>
                <w:rFonts w:ascii="仿宋" w:hAnsi="仿宋" w:eastAsia="仿宋" w:cs="Times New Roman"/>
                <w:bCs/>
                <w:color w:val="000000" w:themeColor="text1"/>
                <w:sz w:val="24"/>
                <w14:textFill>
                  <w14:solidFill>
                    <w14:schemeClr w14:val="tx1"/>
                  </w14:solidFill>
                </w14:textFill>
              </w:rPr>
              <w:t>. 2023 Jan;109:154556. Epub 2022 Nov 18.</w:t>
            </w:r>
          </w:p>
          <w:p w14:paraId="026A4DF4">
            <w:pPr>
              <w:numPr>
                <w:ilvl w:val="0"/>
                <w:numId w:val="1"/>
              </w:numPr>
              <w:rPr>
                <w:rFonts w:ascii="仿宋" w:hAnsi="仿宋" w:eastAsia="仿宋" w:cs="Times New Roman"/>
                <w:bCs/>
                <w:sz w:val="24"/>
              </w:rPr>
            </w:pPr>
            <w:r>
              <w:rPr>
                <w:rFonts w:ascii="仿宋" w:hAnsi="仿宋" w:eastAsia="仿宋" w:cs="Times New Roman"/>
                <w:bCs/>
                <w:sz w:val="24"/>
              </w:rPr>
              <w:t xml:space="preserve">Zhang X, You L, Zhang X, Wang F, Wang Y, Zhou J, Liu C, Qu F. </w:t>
            </w:r>
            <w:r>
              <w:rPr>
                <w:rFonts w:hint="eastAsia" w:ascii="仿宋" w:hAnsi="仿宋" w:eastAsia="仿宋" w:cs="Times New Roman"/>
                <w:bCs/>
                <w:sz w:val="24"/>
              </w:rPr>
              <w:t>Neurobehavioral alternations of the female offspring born to polycystic ovary syndrome model rats administered by Chinese herbal medicine. Chinese Medicin</w:t>
            </w:r>
            <w:r>
              <w:rPr>
                <w:rFonts w:ascii="仿宋" w:hAnsi="仿宋" w:eastAsia="仿宋" w:cs="Times New Roman"/>
                <w:bCs/>
                <w:sz w:val="24"/>
              </w:rPr>
              <w:t>e. 2021 Oct;16(1):97.</w:t>
            </w:r>
          </w:p>
          <w:p w14:paraId="2FD3770C">
            <w:pPr>
              <w:rPr>
                <w:rFonts w:ascii="仿宋" w:hAnsi="仿宋" w:eastAsia="仿宋" w:cs="Times New Roman"/>
                <w:bCs/>
                <w:sz w:val="24"/>
              </w:rPr>
            </w:pPr>
            <w:r>
              <w:rPr>
                <w:rFonts w:hint="eastAsia" w:ascii="仿宋" w:hAnsi="仿宋" w:eastAsia="仿宋" w:cs="Times New Roman"/>
                <w:bCs/>
                <w:sz w:val="24"/>
              </w:rPr>
              <w:t>3.</w:t>
            </w:r>
            <w:r>
              <w:rPr>
                <w:rFonts w:ascii="仿宋" w:hAnsi="仿宋" w:eastAsia="仿宋" w:cs="Times New Roman"/>
                <w:bCs/>
                <w:sz w:val="24"/>
              </w:rPr>
              <w:t xml:space="preserve"> Pan X, Gu Y, Zhang X, Shi B, Cui L, Wang F, Qu F. </w:t>
            </w:r>
            <w:r>
              <w:rPr>
                <w:rFonts w:hint="eastAsia" w:ascii="仿宋" w:hAnsi="仿宋" w:eastAsia="仿宋" w:cs="Times New Roman"/>
                <w:bCs/>
                <w:sz w:val="24"/>
              </w:rPr>
              <w:t>Chinese herbal medicine (Bu-Shen-Tian-Jing Formula) for outcomes of IVF in Chinese patients with polycystic ovary syndrome:a retrospective cohort study. Integrative Medicine Research</w:t>
            </w:r>
            <w:r>
              <w:rPr>
                <w:rFonts w:ascii="仿宋" w:hAnsi="仿宋" w:eastAsia="仿宋" w:cs="Times New Roman"/>
                <w:bCs/>
                <w:sz w:val="24"/>
              </w:rPr>
              <w:t>. 2022 Mar;11(1):100775.</w:t>
            </w:r>
          </w:p>
          <w:p w14:paraId="267880BF">
            <w:pPr>
              <w:rPr>
                <w:rStyle w:val="7"/>
                <w:rFonts w:ascii="仿宋" w:hAnsi="仿宋" w:eastAsia="仿宋"/>
                <w:color w:val="000000" w:themeColor="text1"/>
                <w:lang w:bidi="ar"/>
                <w14:textFill>
                  <w14:solidFill>
                    <w14:schemeClr w14:val="tx1"/>
                  </w14:solidFill>
                </w14:textFill>
              </w:rPr>
            </w:pPr>
            <w:r>
              <w:rPr>
                <w:rFonts w:ascii="仿宋" w:hAnsi="仿宋" w:eastAsia="仿宋" w:cs="Times New Roman"/>
                <w:color w:val="000000" w:themeColor="text1"/>
                <w:kern w:val="0"/>
                <w:sz w:val="24"/>
                <w:lang w:bidi="ar"/>
                <w14:textFill>
                  <w14:solidFill>
                    <w14:schemeClr w14:val="tx1"/>
                  </w14:solidFill>
                </w14:textFill>
              </w:rPr>
              <w:t>4.</w:t>
            </w:r>
            <w:r>
              <w:rPr>
                <w:rFonts w:ascii="仿宋" w:hAnsi="仿宋" w:eastAsia="仿宋"/>
                <w:color w:val="000000" w:themeColor="text1"/>
                <w14:textFill>
                  <w14:solidFill>
                    <w14:schemeClr w14:val="tx1"/>
                  </w14:solidFill>
                </w14:textFill>
              </w:rPr>
              <w:t xml:space="preserve"> </w:t>
            </w:r>
            <w:r>
              <w:rPr>
                <w:rFonts w:ascii="仿宋" w:hAnsi="仿宋" w:eastAsia="仿宋" w:cs="Times New Roman"/>
                <w:color w:val="000000" w:themeColor="text1"/>
                <w:kern w:val="0"/>
                <w:sz w:val="24"/>
                <w:lang w:bidi="ar"/>
                <w14:textFill>
                  <w14:solidFill>
                    <w14:schemeClr w14:val="tx1"/>
                  </w14:solidFill>
                </w14:textFill>
              </w:rPr>
              <w:t xml:space="preserve">Wu Y, Robinson N, Hardiman PJ, Taw MB, Zhou J, Wang F, Qu F. </w:t>
            </w:r>
            <w:r>
              <w:rPr>
                <w:rStyle w:val="7"/>
                <w:rFonts w:ascii="仿宋" w:hAnsi="仿宋" w:eastAsia="仿宋"/>
                <w:color w:val="000000" w:themeColor="text1"/>
                <w:lang w:bidi="ar"/>
                <w14:textFill>
                  <w14:solidFill>
                    <w14:schemeClr w14:val="tx1"/>
                  </w14:solidFill>
                </w14:textFill>
              </w:rPr>
              <w:t>Acupuncture for treating polycystic ovary syndrome: guidance for future randomized controlled trials. Journal of Zhejiang University-Science B. 2016 Mar;17(3):169-80.</w:t>
            </w:r>
          </w:p>
          <w:p w14:paraId="2D341D61">
            <w:pPr>
              <w:rPr>
                <w:rFonts w:ascii="仿宋" w:hAnsi="仿宋" w:eastAsia="仿宋" w:cs="Times New Roman"/>
                <w:bCs/>
                <w:color w:val="000000" w:themeColor="text1"/>
                <w:sz w:val="24"/>
                <w14:textFill>
                  <w14:solidFill>
                    <w14:schemeClr w14:val="tx1"/>
                  </w14:solidFill>
                </w14:textFill>
              </w:rPr>
            </w:pPr>
            <w:r>
              <w:rPr>
                <w:rFonts w:ascii="仿宋" w:hAnsi="仿宋" w:eastAsia="仿宋" w:cs="Times New Roman"/>
                <w:bCs/>
                <w:sz w:val="24"/>
              </w:rPr>
              <w:t>5</w:t>
            </w:r>
            <w:r>
              <w:rPr>
                <w:rFonts w:hint="eastAsia" w:ascii="仿宋" w:hAnsi="仿宋" w:eastAsia="仿宋" w:cs="Times New Roman"/>
                <w:bCs/>
                <w:sz w:val="24"/>
              </w:rPr>
              <w:t>.</w:t>
            </w:r>
            <w:r>
              <w:rPr>
                <w:rFonts w:ascii="仿宋" w:hAnsi="仿宋" w:eastAsia="仿宋"/>
              </w:rPr>
              <w:t xml:space="preserve"> </w:t>
            </w:r>
            <w:r>
              <w:rPr>
                <w:rFonts w:ascii="仿宋" w:hAnsi="仿宋" w:eastAsia="仿宋" w:cs="Times New Roman"/>
                <w:bCs/>
                <w:sz w:val="24"/>
              </w:rPr>
              <w:t>Wang F, Xie N, Zhou J, Dai M, Zhang Q, Hardiman PJ, Qu F. Molecular mechanisms underlying altered neurobehavioural development of female offspring of mothers with polycystic ovary syndrome: FOS-mediated regulation of neurotrophins in placenta. EB</w:t>
            </w:r>
            <w:r>
              <w:rPr>
                <w:rFonts w:ascii="仿宋" w:hAnsi="仿宋" w:eastAsia="仿宋" w:cs="Times New Roman"/>
                <w:bCs/>
                <w:color w:val="000000" w:themeColor="text1"/>
                <w:sz w:val="24"/>
                <w14:textFill>
                  <w14:solidFill>
                    <w14:schemeClr w14:val="tx1"/>
                  </w14:solidFill>
                </w14:textFill>
              </w:rPr>
              <w:t>ioMedicine. 2020 Oct;60:102993.</w:t>
            </w:r>
          </w:p>
          <w:p w14:paraId="6173C17C">
            <w:pPr>
              <w:rPr>
                <w:rFonts w:ascii="仿宋" w:hAnsi="仿宋" w:eastAsia="仿宋" w:cs="Times New Roman"/>
                <w:color w:val="000000" w:themeColor="text1"/>
                <w:kern w:val="0"/>
                <w:sz w:val="24"/>
                <w:lang w:bidi="ar"/>
                <w14:textFill>
                  <w14:solidFill>
                    <w14:schemeClr w14:val="tx1"/>
                  </w14:solidFill>
                </w14:textFill>
              </w:rPr>
            </w:pPr>
            <w:bookmarkStart w:id="2" w:name="_nebF82BC6EF_62DE_42BE_95DB_F5D7AF14512B"/>
            <w:r>
              <w:rPr>
                <w:rFonts w:ascii="仿宋" w:hAnsi="仿宋" w:eastAsia="仿宋" w:cs="Times New Roman"/>
                <w:color w:val="000000" w:themeColor="text1"/>
                <w:kern w:val="0"/>
                <w:sz w:val="24"/>
                <w:lang w:bidi="ar"/>
                <w14:textFill>
                  <w14:solidFill>
                    <w14:schemeClr w14:val="tx1"/>
                  </w14:solidFill>
                </w14:textFill>
              </w:rPr>
              <w:t>6. Wang F, Xie N, Wu Y, Zhang Q, Zhu Y, Dai M, Zhou J, Pan J, Tang M, Cheng Q, Shi B, Guo Q, Li X, Xie L, Wang B, Yang D, Weng Q, Guo L, Ye J, Pan M, Zhang S, Zhou H, Zhen C, Liu P, Ning K, Brackenridge L, Hardiman PJ, Qu F. Association between circadian rhythm disruption and polycystic ovary syndrome. Fertility and Sterility</w:t>
            </w:r>
            <w:bookmarkEnd w:id="2"/>
            <w:r>
              <w:rPr>
                <w:rFonts w:ascii="仿宋" w:hAnsi="仿宋" w:eastAsia="仿宋" w:cs="Times New Roman"/>
                <w:color w:val="000000" w:themeColor="text1"/>
                <w:kern w:val="0"/>
                <w:sz w:val="24"/>
                <w:lang w:bidi="ar"/>
                <w14:textFill>
                  <w14:solidFill>
                    <w14:schemeClr w14:val="tx1"/>
                  </w14:solidFill>
                </w14:textFill>
              </w:rPr>
              <w:t>. 2021 Mar;115(3):771-781.</w:t>
            </w:r>
          </w:p>
          <w:p w14:paraId="6D17B27F">
            <w:pPr>
              <w:rPr>
                <w:rFonts w:ascii="仿宋" w:hAnsi="仿宋" w:eastAsia="仿宋" w:cs="Times New Roman"/>
                <w:bCs/>
                <w:sz w:val="24"/>
              </w:rPr>
            </w:pPr>
            <w:r>
              <w:rPr>
                <w:rFonts w:ascii="仿宋" w:hAnsi="仿宋" w:eastAsia="仿宋" w:cs="Times New Roman"/>
                <w:bCs/>
                <w:sz w:val="24"/>
              </w:rPr>
              <w:t>7</w:t>
            </w:r>
            <w:r>
              <w:rPr>
                <w:rFonts w:hint="eastAsia" w:ascii="仿宋" w:hAnsi="仿宋" w:eastAsia="仿宋" w:cs="Times New Roman"/>
                <w:bCs/>
                <w:sz w:val="24"/>
              </w:rPr>
              <w:t>.</w:t>
            </w:r>
            <w:r>
              <w:rPr>
                <w:rFonts w:ascii="仿宋" w:hAnsi="仿宋" w:eastAsia="仿宋"/>
              </w:rPr>
              <w:t xml:space="preserve"> </w:t>
            </w:r>
            <w:r>
              <w:rPr>
                <w:rFonts w:ascii="仿宋" w:hAnsi="仿宋" w:eastAsia="仿宋" w:cs="Times New Roman"/>
                <w:bCs/>
                <w:sz w:val="24"/>
              </w:rPr>
              <w:t xml:space="preserve">Zhang Q, Ren J, Wang F, Pan M, Cui L, Li M, Qu F. </w:t>
            </w:r>
            <w:r>
              <w:rPr>
                <w:rFonts w:hint="eastAsia" w:ascii="仿宋" w:hAnsi="仿宋" w:eastAsia="仿宋" w:cs="Times New Roman"/>
                <w:bCs/>
                <w:sz w:val="24"/>
              </w:rPr>
              <w:t>Mitochondrial and glucose metabolic dysfunctions in granulosa cells induce impaired oocytes of polycystic ovary syndrome through Sirtuin 3</w:t>
            </w:r>
            <w:r>
              <w:rPr>
                <w:rFonts w:ascii="仿宋" w:hAnsi="仿宋" w:eastAsia="仿宋" w:cs="Times New Roman"/>
                <w:bCs/>
                <w:sz w:val="24"/>
              </w:rPr>
              <w:t>.</w:t>
            </w:r>
            <w:r>
              <w:rPr>
                <w:rFonts w:hint="eastAsia" w:ascii="仿宋" w:hAnsi="仿宋" w:eastAsia="仿宋" w:cs="Times New Roman"/>
                <w:bCs/>
                <w:sz w:val="24"/>
              </w:rPr>
              <w:t xml:space="preserve"> Free Radical Biology and Medicine</w:t>
            </w:r>
            <w:r>
              <w:rPr>
                <w:rFonts w:ascii="仿宋" w:hAnsi="仿宋" w:eastAsia="仿宋" w:cs="Times New Roman"/>
                <w:bCs/>
                <w:sz w:val="24"/>
              </w:rPr>
              <w:t>. 2022 Jul;187:1-16.</w:t>
            </w:r>
          </w:p>
          <w:p w14:paraId="070A631E">
            <w:pPr>
              <w:rPr>
                <w:rFonts w:ascii="仿宋" w:hAnsi="仿宋" w:eastAsia="仿宋" w:cs="Times New Roman"/>
                <w:color w:val="000000" w:themeColor="text1"/>
                <w:kern w:val="0"/>
                <w:sz w:val="24"/>
                <w:lang w:bidi="ar"/>
                <w14:textFill>
                  <w14:solidFill>
                    <w14:schemeClr w14:val="tx1"/>
                  </w14:solidFill>
                </w14:textFill>
              </w:rPr>
            </w:pPr>
            <w:r>
              <w:rPr>
                <w:rFonts w:ascii="仿宋" w:hAnsi="仿宋" w:eastAsia="仿宋" w:cs="Times New Roman"/>
                <w:color w:val="000000" w:themeColor="text1"/>
                <w:kern w:val="0"/>
                <w:sz w:val="24"/>
                <w:lang w:bidi="ar"/>
                <w14:textFill>
                  <w14:solidFill>
                    <w14:schemeClr w14:val="tx1"/>
                  </w14:solidFill>
                </w14:textFill>
              </w:rPr>
              <w:t xml:space="preserve">8. </w:t>
            </w:r>
            <w:bookmarkStart w:id="3" w:name="OLE_LINK1"/>
            <w:r>
              <w:rPr>
                <w:rFonts w:ascii="仿宋" w:hAnsi="仿宋" w:eastAsia="仿宋" w:cs="Times New Roman"/>
                <w:color w:val="000000" w:themeColor="text1"/>
                <w:kern w:val="0"/>
                <w:sz w:val="24"/>
                <w:lang w:bidi="ar"/>
                <w14:textFill>
                  <w14:solidFill>
                    <w14:schemeClr w14:val="tx1"/>
                  </w14:solidFill>
                </w14:textFill>
              </w:rPr>
              <w:t>Zhang Q, Bao Z, Deng M, Xu Q, Ding D, Pan M, Xi X, Wang F, Zou Y, Qu F. Fetal growth, fetal development, and placental features in women with polycystic ovary syndrome: analysis based on fetal and placental magnetic resonance imaging</w:t>
            </w:r>
            <w:bookmarkEnd w:id="3"/>
            <w:r>
              <w:rPr>
                <w:rFonts w:ascii="仿宋" w:hAnsi="仿宋" w:eastAsia="仿宋" w:cs="Times New Roman"/>
                <w:color w:val="000000" w:themeColor="text1"/>
                <w:kern w:val="0"/>
                <w:sz w:val="24"/>
                <w:lang w:bidi="ar"/>
                <w14:textFill>
                  <w14:solidFill>
                    <w14:schemeClr w14:val="tx1"/>
                  </w14:solidFill>
                </w14:textFill>
              </w:rPr>
              <w:t>. Journal of Zhejiang University-Science B. 2020 Dec;21(12):977-989.</w:t>
            </w:r>
          </w:p>
        </w:tc>
      </w:tr>
      <w:tr w14:paraId="7E5A7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4928E19">
            <w:pPr>
              <w:spacing w:line="440" w:lineRule="exact"/>
              <w:jc w:val="center"/>
              <w:rPr>
                <w:rFonts w:ascii="Times New Roman" w:hAnsi="Times New Roman" w:eastAsia="FangSong_GB2312" w:cs="Times New Roman"/>
                <w:bCs/>
                <w:sz w:val="28"/>
              </w:rPr>
            </w:pPr>
            <w:r>
              <w:rPr>
                <w:rFonts w:ascii="Times New Roman" w:hAnsi="Times New Roman" w:eastAsia="FangSong_GB2312" w:cs="Times New Roman"/>
                <w:bCs/>
                <w:sz w:val="28"/>
              </w:rPr>
              <w:t>主要完成人</w:t>
            </w:r>
          </w:p>
        </w:tc>
        <w:tc>
          <w:tcPr>
            <w:tcW w:w="6237" w:type="dxa"/>
            <w:tcBorders>
              <w:left w:val="single" w:color="auto" w:sz="4" w:space="0"/>
            </w:tcBorders>
            <w:vAlign w:val="center"/>
          </w:tcPr>
          <w:p w14:paraId="6BD1EEA6">
            <w:pPr>
              <w:rPr>
                <w:rFonts w:ascii="Times New Roman" w:hAnsi="Times New Roman" w:eastAsia="FangSong_GB2312" w:cs="Times New Roman"/>
                <w:bCs/>
                <w:sz w:val="24"/>
              </w:rPr>
            </w:pPr>
            <w:r>
              <w:rPr>
                <w:rFonts w:hint="eastAsia" w:ascii="Times New Roman" w:hAnsi="Times New Roman" w:eastAsia="FangSong_GB2312" w:cs="Times New Roman"/>
                <w:bCs/>
                <w:sz w:val="24"/>
              </w:rPr>
              <w:t>曲凡，排名1，教授、主任中医师、博士生导师，浙江大学医学院附属妇产科医院；</w:t>
            </w:r>
          </w:p>
          <w:p w14:paraId="0AD4F777">
            <w:pPr>
              <w:rPr>
                <w:rFonts w:ascii="Times New Roman" w:hAnsi="Times New Roman" w:eastAsia="FangSong_GB2312" w:cs="Times New Roman"/>
                <w:bCs/>
                <w:sz w:val="24"/>
              </w:rPr>
            </w:pPr>
            <w:r>
              <w:rPr>
                <w:rFonts w:hint="eastAsia" w:ascii="Times New Roman" w:hAnsi="Times New Roman" w:eastAsia="FangSong_GB2312" w:cs="Times New Roman"/>
                <w:bCs/>
                <w:sz w:val="24"/>
              </w:rPr>
              <w:t>王芳芳，排名2，副主任医师、特聘研究员、硕士生导师，浙江大学医学院附属妇产科医院；</w:t>
            </w:r>
          </w:p>
          <w:p w14:paraId="5B4161F5">
            <w:pPr>
              <w:rPr>
                <w:rFonts w:ascii="Times New Roman" w:hAnsi="Times New Roman" w:eastAsia="FangSong_GB2312" w:cs="Times New Roman"/>
                <w:bCs/>
                <w:sz w:val="24"/>
              </w:rPr>
            </w:pPr>
            <w:r>
              <w:rPr>
                <w:rFonts w:hint="eastAsia" w:ascii="Times New Roman" w:hAnsi="Times New Roman" w:eastAsia="FangSong_GB2312" w:cs="Times New Roman"/>
                <w:bCs/>
                <w:sz w:val="24"/>
              </w:rPr>
              <w:t>周珏，排名3，副教授、硕士生导师，浙江工商大学；</w:t>
            </w:r>
          </w:p>
          <w:p w14:paraId="0B69CFE4">
            <w:pPr>
              <w:rPr>
                <w:rFonts w:ascii="Times New Roman" w:hAnsi="Times New Roman" w:eastAsia="FangSong_GB2312" w:cs="Times New Roman"/>
                <w:bCs/>
                <w:sz w:val="24"/>
              </w:rPr>
            </w:pPr>
            <w:r>
              <w:rPr>
                <w:rFonts w:hint="eastAsia" w:ascii="Times New Roman" w:hAnsi="Times New Roman" w:eastAsia="FangSong_GB2312" w:cs="Times New Roman"/>
                <w:bCs/>
                <w:sz w:val="24"/>
              </w:rPr>
              <w:t>戴旻辰，排名4，主治中医师，浙江大学医学院附属妇产科医院；</w:t>
            </w:r>
          </w:p>
          <w:p w14:paraId="2BE45E71">
            <w:pPr>
              <w:rPr>
                <w:rFonts w:ascii="Times New Roman" w:hAnsi="Times New Roman" w:eastAsia="FangSong_GB2312" w:cs="Times New Roman"/>
                <w:bCs/>
                <w:sz w:val="24"/>
              </w:rPr>
            </w:pPr>
            <w:r>
              <w:rPr>
                <w:rFonts w:hint="eastAsia" w:ascii="Times New Roman" w:hAnsi="Times New Roman" w:eastAsia="FangSong_GB2312" w:cs="Times New Roman"/>
                <w:bCs/>
                <w:sz w:val="24"/>
              </w:rPr>
              <w:t>石碧炜，排名5，副主任技师，浙江大学医学院附属妇产科医院。</w:t>
            </w:r>
          </w:p>
        </w:tc>
      </w:tr>
      <w:tr w14:paraId="2830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34847B2B">
            <w:pPr>
              <w:spacing w:line="440" w:lineRule="exact"/>
              <w:jc w:val="center"/>
              <w:rPr>
                <w:rFonts w:ascii="Times New Roman" w:hAnsi="Times New Roman" w:eastAsia="仿宋" w:cs="Times New Roman"/>
                <w:bCs/>
                <w:sz w:val="24"/>
              </w:rPr>
            </w:pPr>
            <w:r>
              <w:rPr>
                <w:rFonts w:ascii="Times New Roman" w:hAnsi="Times New Roman" w:eastAsia="仿宋" w:cs="Times New Roman"/>
                <w:bCs/>
                <w:sz w:val="28"/>
              </w:rPr>
              <w:t>主要完成单位</w:t>
            </w:r>
          </w:p>
        </w:tc>
        <w:tc>
          <w:tcPr>
            <w:tcW w:w="6237" w:type="dxa"/>
            <w:tcBorders>
              <w:left w:val="single" w:color="auto" w:sz="4" w:space="0"/>
            </w:tcBorders>
            <w:vAlign w:val="center"/>
          </w:tcPr>
          <w:p w14:paraId="70F735C4">
            <w:pPr>
              <w:spacing w:line="440" w:lineRule="exact"/>
              <w:jc w:val="left"/>
              <w:rPr>
                <w:rFonts w:ascii="Times New Roman" w:hAnsi="Times New Roman" w:eastAsia="FangSong_GB2312" w:cs="Times New Roman"/>
                <w:bCs/>
                <w:sz w:val="24"/>
              </w:rPr>
            </w:pPr>
            <w:r>
              <w:rPr>
                <w:rFonts w:ascii="Times New Roman" w:hAnsi="Times New Roman" w:eastAsia="FangSong_GB2312" w:cs="Times New Roman"/>
                <w:bCs/>
                <w:sz w:val="24"/>
              </w:rPr>
              <w:t>1.单位名称：</w:t>
            </w:r>
            <w:r>
              <w:rPr>
                <w:rFonts w:ascii="FangSong_GB2312" w:hAnsi="Times New Roman" w:eastAsia="FangSong_GB2312" w:cs="FangSong_GB2312"/>
                <w:bCs/>
                <w:sz w:val="24"/>
                <w:lang w:bidi="ar"/>
              </w:rPr>
              <w:t>浙江大学医学院附属妇产科医院</w:t>
            </w:r>
          </w:p>
          <w:p w14:paraId="700F7F6E">
            <w:pPr>
              <w:spacing w:line="440" w:lineRule="exact"/>
              <w:jc w:val="left"/>
              <w:rPr>
                <w:rFonts w:ascii="Times New Roman" w:hAnsi="Times New Roman" w:eastAsia="FangSong_GB2312" w:cs="Times New Roman"/>
                <w:bCs/>
                <w:sz w:val="24"/>
              </w:rPr>
            </w:pPr>
            <w:r>
              <w:rPr>
                <w:rFonts w:ascii="Times New Roman" w:hAnsi="Times New Roman" w:eastAsia="FangSong_GB2312" w:cs="Times New Roman"/>
                <w:bCs/>
                <w:sz w:val="24"/>
              </w:rPr>
              <w:t>2.单位名称：</w:t>
            </w:r>
            <w:r>
              <w:rPr>
                <w:rFonts w:hint="eastAsia" w:ascii="Times New Roman" w:hAnsi="Times New Roman" w:eastAsia="FangSong_GB2312" w:cs="Times New Roman"/>
                <w:bCs/>
                <w:sz w:val="24"/>
              </w:rPr>
              <w:t>浙江工商大学</w:t>
            </w:r>
          </w:p>
          <w:p w14:paraId="3A43A12C">
            <w:pPr>
              <w:spacing w:line="440" w:lineRule="exact"/>
              <w:jc w:val="left"/>
              <w:rPr>
                <w:rFonts w:ascii="Times New Roman" w:hAnsi="Times New Roman" w:eastAsia="FangSong_GB2312" w:cs="Times New Roman"/>
                <w:bCs/>
                <w:sz w:val="24"/>
              </w:rPr>
            </w:pPr>
          </w:p>
        </w:tc>
      </w:tr>
      <w:tr w14:paraId="54A3E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AB089CE">
            <w:pPr>
              <w:jc w:val="center"/>
              <w:rPr>
                <w:rFonts w:ascii="Times New Roman" w:hAnsi="Times New Roman" w:eastAsia="FangSong_GB2312" w:cs="Times New Roman"/>
                <w:sz w:val="28"/>
                <w:szCs w:val="28"/>
              </w:rPr>
            </w:pPr>
            <w:r>
              <w:rPr>
                <w:rFonts w:ascii="Times New Roman" w:hAnsi="Times New Roman" w:eastAsia="FangSong_GB2312" w:cs="Times New Roman"/>
                <w:bCs/>
                <w:sz w:val="28"/>
                <w:szCs w:val="28"/>
              </w:rPr>
              <w:t>提名单位</w:t>
            </w:r>
          </w:p>
        </w:tc>
        <w:tc>
          <w:tcPr>
            <w:tcW w:w="6237" w:type="dxa"/>
            <w:vAlign w:val="center"/>
          </w:tcPr>
          <w:p w14:paraId="1ECFBFCC">
            <w:pPr>
              <w:contextualSpacing/>
              <w:jc w:val="center"/>
              <w:rPr>
                <w:rFonts w:ascii="Times New Roman" w:hAnsi="Times New Roman" w:eastAsia="宋体" w:cs="Times New Roman"/>
                <w:szCs w:val="20"/>
              </w:rPr>
            </w:pPr>
            <w:r>
              <w:rPr>
                <w:rFonts w:ascii="FangSong_GB2312" w:hAnsi="Times New Roman" w:eastAsia="FangSong_GB2312" w:cs="FangSong_GB2312"/>
                <w:bCs/>
                <w:sz w:val="24"/>
                <w:lang w:bidi="ar"/>
              </w:rPr>
              <w:t>浙江大学</w:t>
            </w:r>
          </w:p>
        </w:tc>
      </w:tr>
      <w:tr w14:paraId="236F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00CCFD4F">
            <w:pPr>
              <w:jc w:val="center"/>
              <w:rPr>
                <w:rFonts w:ascii="Times New Roman" w:hAnsi="Times New Roman" w:eastAsia="FangSong_GB2312" w:cs="Times New Roman"/>
                <w:sz w:val="28"/>
                <w:szCs w:val="28"/>
                <w:highlight w:val="yellow"/>
              </w:rPr>
            </w:pPr>
            <w:r>
              <w:rPr>
                <w:rFonts w:ascii="Times New Roman" w:hAnsi="Times New Roman" w:eastAsia="FangSong_GB2312" w:cs="Times New Roman"/>
                <w:bCs/>
                <w:sz w:val="28"/>
                <w:szCs w:val="28"/>
              </w:rPr>
              <w:t>提名意见</w:t>
            </w:r>
          </w:p>
        </w:tc>
        <w:tc>
          <w:tcPr>
            <w:tcW w:w="6237" w:type="dxa"/>
            <w:vAlign w:val="center"/>
          </w:tcPr>
          <w:p w14:paraId="1E033273">
            <w:pPr>
              <w:ind w:firstLine="480" w:firstLineChars="200"/>
              <w:contextualSpacing/>
              <w:rPr>
                <w:rFonts w:ascii="Times New Roman" w:hAnsi="Times New Roman" w:eastAsia="FangSong_GB2312" w:cs="Times New Roman"/>
                <w:bCs/>
                <w:color w:val="000000" w:themeColor="text1"/>
                <w:sz w:val="24"/>
                <w14:textFill>
                  <w14:solidFill>
                    <w14:schemeClr w14:val="tx1"/>
                  </w14:solidFill>
                </w14:textFill>
              </w:rPr>
            </w:pPr>
            <w:r>
              <w:rPr>
                <w:rFonts w:hint="eastAsia" w:ascii="Times New Roman" w:hAnsi="Times New Roman" w:eastAsia="FangSong_GB2312" w:cs="Times New Roman"/>
                <w:bCs/>
                <w:color w:val="000000" w:themeColor="text1"/>
                <w:sz w:val="24"/>
                <w14:textFill>
                  <w14:solidFill>
                    <w14:schemeClr w14:val="tx1"/>
                  </w14:solidFill>
                </w14:textFill>
              </w:rPr>
              <w:t>本项目聚焦于中医药对多囊卵巢综合征（PCOS）“卵泡—子代”代际效应的级联保护机制展开系列研究工作。项目组系统阐释PCOS“卵泡—子代”的代际效应机制，拓展并深化了PCOS女性卵泡发育障碍中涉及氧化应激、能量代谢及细胞程序性死亡等关键性病理机制图谱，并基于PCOS卵泡发育机制解析，揭示了PCOS子代多系统表型变化及其胎盘源性机制；在中医学“肾藏精，主生殖”和“肾为先天之本”经典理论指导下，聚焦氧化应激、能量代谢及细胞程序性死亡三个方面，揭示补肾填精法对PCOS“卵泡—子代”代际效应的级联保护机制，为中医生殖遗传学思想的发展提供了新的现代科学内涵，体现了中医药在PCOS女性“备孕期—妊娠期—分娩期”不同生理阶段，从孕前干预到代际健康维护的独特价值。基于中医药对PCOS“卵泡—子代”代际效应的级联保护机制解析，精准建立临床策略并牵头发表共识，研究工作被欧洲人类与生殖胚胎学会、美国生殖医学会、美国内分泌学会和欧洲内分泌学会共同发表的《多囊卵巢综合征评估和管理国际循证指南推荐建议（2023年版）》正面引用，部分成果被《Lancet》等高影响力期刊正面引用。综上，该项目创新性强、科学价值突出，数据详实，材料完整、规范，符合浙江省自然科学奖的提名要求。</w:t>
            </w:r>
          </w:p>
          <w:p w14:paraId="2A6D4A02">
            <w:pPr>
              <w:ind w:firstLine="480" w:firstLineChars="200"/>
              <w:contextualSpacing/>
              <w:rPr>
                <w:rFonts w:ascii="Times New Roman" w:hAnsi="Times New Roman" w:eastAsia="宋体" w:cs="Times New Roman"/>
                <w:szCs w:val="20"/>
                <w:highlight w:val="yellow"/>
              </w:rPr>
            </w:pPr>
            <w:r>
              <w:rPr>
                <w:rFonts w:hint="eastAsia" w:ascii="Times New Roman" w:hAnsi="Times New Roman" w:eastAsia="FangSong_GB2312" w:cs="Times New Roman"/>
                <w:bCs/>
                <w:color w:val="000000" w:themeColor="text1"/>
                <w:sz w:val="24"/>
                <w14:textFill>
                  <w14:solidFill>
                    <w14:schemeClr w14:val="tx1"/>
                  </w14:solidFill>
                </w14:textFill>
              </w:rPr>
              <w:t>综上，提名该成果为省自然科学奖二等奖。</w:t>
            </w:r>
          </w:p>
        </w:tc>
      </w:tr>
    </w:tbl>
    <w:p w14:paraId="3881F4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FangSong_GB2312">
    <w:altName w:val="仿宋_GB2312"/>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DE851"/>
    <w:multiLevelType w:val="singleLevel"/>
    <w:tmpl w:val="E5ADE8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7F6D3"/>
    <w:rsid w:val="00013466"/>
    <w:rsid w:val="00024EB9"/>
    <w:rsid w:val="0007093A"/>
    <w:rsid w:val="000A0A04"/>
    <w:rsid w:val="0014692C"/>
    <w:rsid w:val="00156552"/>
    <w:rsid w:val="00195369"/>
    <w:rsid w:val="001B1C53"/>
    <w:rsid w:val="001B314D"/>
    <w:rsid w:val="001D7D55"/>
    <w:rsid w:val="002318D6"/>
    <w:rsid w:val="0027509D"/>
    <w:rsid w:val="00292F90"/>
    <w:rsid w:val="002A6640"/>
    <w:rsid w:val="002C00E5"/>
    <w:rsid w:val="002C5AD8"/>
    <w:rsid w:val="0031677A"/>
    <w:rsid w:val="00367C6E"/>
    <w:rsid w:val="0038297C"/>
    <w:rsid w:val="003930D0"/>
    <w:rsid w:val="003C3B94"/>
    <w:rsid w:val="003D265C"/>
    <w:rsid w:val="003D5562"/>
    <w:rsid w:val="003D5A0E"/>
    <w:rsid w:val="0040333C"/>
    <w:rsid w:val="00411523"/>
    <w:rsid w:val="00461BA6"/>
    <w:rsid w:val="00490D77"/>
    <w:rsid w:val="004E331C"/>
    <w:rsid w:val="00546808"/>
    <w:rsid w:val="005573AD"/>
    <w:rsid w:val="00561E53"/>
    <w:rsid w:val="00594389"/>
    <w:rsid w:val="00594E72"/>
    <w:rsid w:val="005A138B"/>
    <w:rsid w:val="005C363A"/>
    <w:rsid w:val="00644B37"/>
    <w:rsid w:val="00651BD8"/>
    <w:rsid w:val="00700F7F"/>
    <w:rsid w:val="00763967"/>
    <w:rsid w:val="00782DAA"/>
    <w:rsid w:val="007933C4"/>
    <w:rsid w:val="007C36EC"/>
    <w:rsid w:val="007D1908"/>
    <w:rsid w:val="00823CB1"/>
    <w:rsid w:val="0083593C"/>
    <w:rsid w:val="008773AF"/>
    <w:rsid w:val="00884B79"/>
    <w:rsid w:val="00891BF1"/>
    <w:rsid w:val="00897973"/>
    <w:rsid w:val="00932554"/>
    <w:rsid w:val="00934A8C"/>
    <w:rsid w:val="009921A0"/>
    <w:rsid w:val="009D347C"/>
    <w:rsid w:val="009E097E"/>
    <w:rsid w:val="00A60CC9"/>
    <w:rsid w:val="00A845BB"/>
    <w:rsid w:val="00AA4113"/>
    <w:rsid w:val="00AB2AAE"/>
    <w:rsid w:val="00AC2D4E"/>
    <w:rsid w:val="00B53459"/>
    <w:rsid w:val="00BA4248"/>
    <w:rsid w:val="00BB2B37"/>
    <w:rsid w:val="00BC5E05"/>
    <w:rsid w:val="00BD4B16"/>
    <w:rsid w:val="00BE2035"/>
    <w:rsid w:val="00C16A72"/>
    <w:rsid w:val="00C273D5"/>
    <w:rsid w:val="00CA26FA"/>
    <w:rsid w:val="00CD2698"/>
    <w:rsid w:val="00CD3649"/>
    <w:rsid w:val="00CF5A79"/>
    <w:rsid w:val="00D023E5"/>
    <w:rsid w:val="00D31F1F"/>
    <w:rsid w:val="00DA63DB"/>
    <w:rsid w:val="00DC0B80"/>
    <w:rsid w:val="00E27BEB"/>
    <w:rsid w:val="00E51024"/>
    <w:rsid w:val="00E77B2E"/>
    <w:rsid w:val="00EC2E80"/>
    <w:rsid w:val="00F040FC"/>
    <w:rsid w:val="00F2461A"/>
    <w:rsid w:val="00F31EB2"/>
    <w:rsid w:val="00F71A2B"/>
    <w:rsid w:val="00F969EE"/>
    <w:rsid w:val="00FA4823"/>
    <w:rsid w:val="00FD6975"/>
    <w:rsid w:val="00FF3B5D"/>
    <w:rsid w:val="08DD37EA"/>
    <w:rsid w:val="19590F24"/>
    <w:rsid w:val="6C41795F"/>
    <w:rsid w:val="DFF7F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hint="eastAsia" w:ascii="Calibri Light" w:hAnsi="Calibri Light" w:eastAsia="等线 Light"/>
    </w:rPr>
  </w:style>
  <w:style w:type="character" w:styleId="5">
    <w:name w:val="Hyperlink"/>
    <w:basedOn w:val="4"/>
    <w:qFormat/>
    <w:uiPriority w:val="0"/>
    <w:rPr>
      <w:color w:val="0000FF"/>
      <w:u w:val="single"/>
    </w:rPr>
  </w:style>
  <w:style w:type="character" w:customStyle="1" w:styleId="6">
    <w:name w:val="font31"/>
    <w:basedOn w:val="4"/>
    <w:uiPriority w:val="0"/>
    <w:rPr>
      <w:rFonts w:hint="default" w:ascii="Times New Roman" w:hAnsi="Times New Roman" w:cs="Times New Roman"/>
      <w:b/>
      <w:bCs/>
      <w:color w:val="FF0000"/>
      <w:sz w:val="24"/>
      <w:szCs w:val="24"/>
      <w:u w:val="none"/>
    </w:rPr>
  </w:style>
  <w:style w:type="character" w:customStyle="1" w:styleId="7">
    <w:name w:val="font21"/>
    <w:basedOn w:val="4"/>
    <w:qFormat/>
    <w:uiPriority w:val="0"/>
    <w:rPr>
      <w:rFonts w:hint="default" w:ascii="Times New Roman" w:hAnsi="Times New Roman" w:cs="Times New Roman"/>
      <w:color w:val="FF0000"/>
      <w:sz w:val="24"/>
      <w:szCs w:val="24"/>
      <w:u w:val="none"/>
    </w:rPr>
  </w:style>
  <w:style w:type="character" w:customStyle="1" w:styleId="8">
    <w:name w:val="font41"/>
    <w:basedOn w:val="4"/>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1170</Words>
  <Characters>2691</Characters>
  <Lines>15</Lines>
  <Paragraphs>6</Paragraphs>
  <TotalTime>15</TotalTime>
  <ScaleCrop>false</ScaleCrop>
  <LinksUpToDate>false</LinksUpToDate>
  <CharactersWithSpaces>3037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2025-09-11T01:03:00Z</dcterms:created>
  <dc:creator>Nina</dc:creator>
  <cp:lastModifiedBy>葛格</cp:lastModifiedBy>
  <dcterms:modified xsi:type="dcterms:W3CDTF">2025-09-16T02:08:12Z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21BB8D53D28740CD8CFB38B85D078AE0_13</vt:lpwstr>
  </property>
  <property fmtid="{D5CDD505-2E9C-101B-9397-08002B2CF9AE}" pid="4" name="KSOTemplateDocerSaveRecord">
    <vt:lpwstr>eyJoZGlkIjoiZjIzMzkzNDE1YjZiNzJiNDdhMjY5MDIzZjhlZjczNjIiLCJ1c2VySWQiOiI0NTA4NDExODEifQ==</vt:lpwstr>
  </property>
</Properties>
</file>