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1F4BD">
      <w:pPr>
        <w:jc w:val="center"/>
        <w:rPr>
          <w:rStyle w:val="36"/>
          <w:rFonts w:eastAsia="Arial Unicode MS"/>
          <w:bCs w:val="0"/>
          <w:color w:val="auto"/>
          <w:sz w:val="36"/>
          <w:szCs w:val="36"/>
        </w:rPr>
      </w:pPr>
      <w:bookmarkStart w:id="2" w:name="_GoBack"/>
      <w:bookmarkEnd w:id="2"/>
      <w:r>
        <w:rPr>
          <w:rStyle w:val="36"/>
          <w:rFonts w:eastAsia="Arial Unicode MS"/>
          <w:b w:val="0"/>
          <w:color w:val="auto"/>
          <w:sz w:val="36"/>
          <w:szCs w:val="36"/>
        </w:rPr>
        <w:t>浙江省科学技术奖公示信息表</w:t>
      </w:r>
      <w:r>
        <w:rPr>
          <w:rStyle w:val="36"/>
          <w:rFonts w:eastAsia="仿宋_GB2312"/>
          <w:b w:val="0"/>
          <w:color w:val="auto"/>
          <w:sz w:val="32"/>
          <w:szCs w:val="32"/>
        </w:rPr>
        <w:t>（单位提名）</w:t>
      </w:r>
    </w:p>
    <w:p w14:paraId="20B6D97E">
      <w:pPr>
        <w:spacing w:line="440" w:lineRule="exact"/>
        <w:rPr>
          <w:rFonts w:eastAsia="仿宋_GB2312"/>
          <w:sz w:val="28"/>
          <w:szCs w:val="24"/>
        </w:rPr>
      </w:pPr>
      <w:r>
        <w:rPr>
          <w:rFonts w:eastAsia="仿宋_GB2312"/>
          <w:sz w:val="28"/>
          <w:szCs w:val="24"/>
        </w:rPr>
        <w:t>提名奖项：科学技术进步奖</w:t>
      </w:r>
    </w:p>
    <w:tbl>
      <w:tblPr>
        <w:tblStyle w:val="16"/>
        <w:tblW w:w="9923"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7796"/>
      </w:tblGrid>
      <w:tr w14:paraId="31E8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127" w:type="dxa"/>
            <w:vAlign w:val="center"/>
          </w:tcPr>
          <w:p w14:paraId="21C280A8">
            <w:pPr>
              <w:jc w:val="center"/>
              <w:rPr>
                <w:rStyle w:val="36"/>
                <w:rFonts w:eastAsia="仿宋_GB2312"/>
                <w:b w:val="0"/>
                <w:color w:val="auto"/>
                <w:sz w:val="28"/>
              </w:rPr>
            </w:pPr>
            <w:r>
              <w:rPr>
                <w:rStyle w:val="36"/>
                <w:rFonts w:eastAsia="仿宋_GB2312"/>
                <w:b w:val="0"/>
                <w:bCs w:val="0"/>
                <w:color w:val="auto"/>
                <w:sz w:val="28"/>
              </w:rPr>
              <w:t>成果名称</w:t>
            </w:r>
          </w:p>
        </w:tc>
        <w:tc>
          <w:tcPr>
            <w:tcW w:w="7796" w:type="dxa"/>
            <w:vAlign w:val="center"/>
          </w:tcPr>
          <w:p w14:paraId="3DCE6441">
            <w:pPr>
              <w:jc w:val="center"/>
              <w:rPr>
                <w:rStyle w:val="36"/>
                <w:rFonts w:eastAsia="仿宋_GB2312"/>
                <w:b w:val="0"/>
                <w:color w:val="auto"/>
                <w:sz w:val="28"/>
              </w:rPr>
            </w:pPr>
            <w:r>
              <w:rPr>
                <w:rStyle w:val="36"/>
                <w:rFonts w:hint="eastAsia" w:eastAsia="仿宋_GB2312"/>
                <w:b w:val="0"/>
                <w:color w:val="auto"/>
                <w:sz w:val="28"/>
              </w:rPr>
              <w:t>炎性环境牙周软硬组织再生治疗体系创新及应用</w:t>
            </w:r>
          </w:p>
        </w:tc>
      </w:tr>
      <w:tr w14:paraId="6B4F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127" w:type="dxa"/>
            <w:vAlign w:val="center"/>
          </w:tcPr>
          <w:p w14:paraId="4EDCFB7A">
            <w:pPr>
              <w:jc w:val="center"/>
              <w:rPr>
                <w:rStyle w:val="36"/>
                <w:rFonts w:eastAsia="仿宋_GB2312"/>
                <w:b w:val="0"/>
                <w:color w:val="auto"/>
                <w:sz w:val="28"/>
              </w:rPr>
            </w:pPr>
            <w:r>
              <w:rPr>
                <w:rStyle w:val="36"/>
                <w:rFonts w:eastAsia="仿宋_GB2312"/>
                <w:b w:val="0"/>
                <w:bCs w:val="0"/>
                <w:color w:val="auto"/>
                <w:sz w:val="28"/>
              </w:rPr>
              <w:t>提名等级</w:t>
            </w:r>
          </w:p>
        </w:tc>
        <w:tc>
          <w:tcPr>
            <w:tcW w:w="7796" w:type="dxa"/>
            <w:vAlign w:val="center"/>
          </w:tcPr>
          <w:p w14:paraId="0EA85848">
            <w:pPr>
              <w:jc w:val="center"/>
              <w:rPr>
                <w:rStyle w:val="36"/>
                <w:rFonts w:eastAsia="仿宋_GB2312"/>
                <w:b w:val="0"/>
                <w:color w:val="auto"/>
                <w:sz w:val="28"/>
              </w:rPr>
            </w:pPr>
            <w:r>
              <w:rPr>
                <w:rStyle w:val="36"/>
                <w:rFonts w:hint="eastAsia" w:eastAsia="仿宋_GB2312"/>
                <w:b w:val="0"/>
                <w:color w:val="auto"/>
                <w:sz w:val="28"/>
              </w:rPr>
              <w:t>二等奖</w:t>
            </w:r>
          </w:p>
        </w:tc>
      </w:tr>
      <w:tr w14:paraId="7F1BA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127" w:type="dxa"/>
            <w:vAlign w:val="center"/>
          </w:tcPr>
          <w:p w14:paraId="629FD6AD">
            <w:pPr>
              <w:spacing w:line="440" w:lineRule="exact"/>
              <w:jc w:val="center"/>
              <w:rPr>
                <w:rFonts w:eastAsia="仿宋_GB2312"/>
                <w:bCs/>
                <w:sz w:val="28"/>
                <w:szCs w:val="24"/>
              </w:rPr>
            </w:pPr>
            <w:r>
              <w:rPr>
                <w:rFonts w:eastAsia="仿宋_GB2312"/>
                <w:bCs/>
                <w:sz w:val="28"/>
                <w:szCs w:val="24"/>
              </w:rPr>
              <w:t>提名书</w:t>
            </w:r>
          </w:p>
          <w:p w14:paraId="28FB9CAA">
            <w:pPr>
              <w:spacing w:line="440" w:lineRule="exact"/>
              <w:jc w:val="center"/>
              <w:rPr>
                <w:rFonts w:eastAsia="仿宋_GB2312"/>
                <w:bCs/>
                <w:sz w:val="28"/>
                <w:szCs w:val="24"/>
              </w:rPr>
            </w:pPr>
            <w:r>
              <w:rPr>
                <w:rFonts w:eastAsia="仿宋_GB2312"/>
                <w:bCs/>
                <w:sz w:val="28"/>
                <w:szCs w:val="24"/>
              </w:rPr>
              <w:t>相关内容</w:t>
            </w:r>
          </w:p>
        </w:tc>
        <w:tc>
          <w:tcPr>
            <w:tcW w:w="7796" w:type="dxa"/>
            <w:vAlign w:val="center"/>
          </w:tcPr>
          <w:p w14:paraId="57EABBEA">
            <w:pPr>
              <w:spacing w:after="0" w:line="240" w:lineRule="auto"/>
              <w:jc w:val="left"/>
              <w:rPr>
                <w:rFonts w:eastAsia="仿宋_GB2312"/>
                <w:bCs/>
                <w:sz w:val="28"/>
                <w:szCs w:val="28"/>
              </w:rPr>
            </w:pPr>
            <w:r>
              <w:rPr>
                <w:rFonts w:eastAsia="仿宋_GB2312"/>
                <w:bCs/>
                <w:sz w:val="28"/>
                <w:szCs w:val="28"/>
              </w:rPr>
              <w:t>科学技术进步奖：</w:t>
            </w:r>
          </w:p>
          <w:p w14:paraId="039F5E90">
            <w:pPr>
              <w:pStyle w:val="32"/>
              <w:numPr>
                <w:ilvl w:val="0"/>
                <w:numId w:val="1"/>
              </w:numPr>
              <w:spacing w:after="0" w:line="240" w:lineRule="auto"/>
              <w:ind w:firstLineChars="0"/>
              <w:jc w:val="left"/>
              <w:rPr>
                <w:bCs/>
                <w:sz w:val="28"/>
                <w:szCs w:val="28"/>
              </w:rPr>
            </w:pPr>
            <w:r>
              <w:rPr>
                <w:rFonts w:hint="eastAsia"/>
                <w:bCs/>
                <w:sz w:val="28"/>
                <w:szCs w:val="28"/>
              </w:rPr>
              <w:t>主要知识产权</w:t>
            </w:r>
            <w:bookmarkStart w:id="0" w:name="OLE_LINK6"/>
            <w:r>
              <w:rPr>
                <w:rFonts w:hint="eastAsia"/>
                <w:bCs/>
                <w:sz w:val="28"/>
                <w:szCs w:val="28"/>
              </w:rPr>
              <w:t>（见附表七）</w:t>
            </w:r>
            <w:bookmarkEnd w:id="0"/>
          </w:p>
          <w:p w14:paraId="48076E4C">
            <w:pPr>
              <w:pStyle w:val="32"/>
              <w:numPr>
                <w:ilvl w:val="0"/>
                <w:numId w:val="2"/>
              </w:numPr>
              <w:spacing w:after="0" w:line="240" w:lineRule="auto"/>
              <w:ind w:firstLineChars="0"/>
              <w:jc w:val="left"/>
              <w:rPr>
                <w:bCs/>
                <w:sz w:val="28"/>
                <w:szCs w:val="28"/>
              </w:rPr>
            </w:pPr>
            <w:r>
              <w:rPr>
                <w:rFonts w:hint="eastAsia"/>
                <w:bCs/>
                <w:sz w:val="28"/>
                <w:szCs w:val="28"/>
              </w:rPr>
              <w:t>国家发明专利：</w:t>
            </w:r>
          </w:p>
          <w:p w14:paraId="06ADED07">
            <w:pPr>
              <w:spacing w:after="0" w:line="240" w:lineRule="auto"/>
              <w:jc w:val="left"/>
              <w:rPr>
                <w:bCs/>
                <w:sz w:val="28"/>
                <w:szCs w:val="28"/>
              </w:rPr>
            </w:pPr>
            <w:r>
              <w:rPr>
                <w:rFonts w:hint="eastAsia"/>
                <w:bCs/>
                <w:sz w:val="28"/>
                <w:szCs w:val="28"/>
              </w:rPr>
              <w:t>《一种区域功能特异性临床牙周缺损修复模块的制备方法》</w:t>
            </w:r>
          </w:p>
          <w:p w14:paraId="0BB46F79">
            <w:pPr>
              <w:pStyle w:val="32"/>
              <w:numPr>
                <w:ilvl w:val="0"/>
                <w:numId w:val="2"/>
              </w:numPr>
              <w:spacing w:after="0" w:line="240" w:lineRule="auto"/>
              <w:ind w:firstLineChars="0"/>
              <w:jc w:val="left"/>
              <w:rPr>
                <w:bCs/>
                <w:sz w:val="28"/>
                <w:szCs w:val="28"/>
              </w:rPr>
            </w:pPr>
            <w:r>
              <w:rPr>
                <w:rFonts w:hint="eastAsia"/>
                <w:bCs/>
                <w:sz w:val="28"/>
                <w:szCs w:val="28"/>
              </w:rPr>
              <w:t>国家发明专利：</w:t>
            </w:r>
          </w:p>
          <w:p w14:paraId="77E998F5">
            <w:pPr>
              <w:spacing w:after="0" w:line="240" w:lineRule="auto"/>
              <w:jc w:val="left"/>
              <w:rPr>
                <w:bCs/>
                <w:sz w:val="28"/>
                <w:szCs w:val="28"/>
              </w:rPr>
            </w:pPr>
            <w:r>
              <w:rPr>
                <w:rFonts w:hint="eastAsia"/>
                <w:bCs/>
                <w:sz w:val="28"/>
                <w:szCs w:val="28"/>
              </w:rPr>
              <w:t>《基于二阶段深度学习模型的全景片牙周炎智能分级系统》</w:t>
            </w:r>
          </w:p>
          <w:p w14:paraId="5F3493EC">
            <w:pPr>
              <w:pStyle w:val="32"/>
              <w:numPr>
                <w:ilvl w:val="0"/>
                <w:numId w:val="1"/>
              </w:numPr>
              <w:spacing w:after="0" w:line="240" w:lineRule="auto"/>
              <w:ind w:firstLineChars="0"/>
              <w:jc w:val="left"/>
              <w:rPr>
                <w:bCs/>
                <w:sz w:val="28"/>
                <w:szCs w:val="28"/>
              </w:rPr>
            </w:pPr>
            <w:r>
              <w:rPr>
                <w:rFonts w:hint="eastAsia"/>
                <w:bCs/>
                <w:sz w:val="28"/>
                <w:szCs w:val="28"/>
              </w:rPr>
              <w:t>代表性论文专著目录（见附表八）</w:t>
            </w:r>
          </w:p>
        </w:tc>
      </w:tr>
      <w:tr w14:paraId="10B0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2127" w:type="dxa"/>
            <w:tcBorders>
              <w:right w:val="single" w:color="auto" w:sz="4" w:space="0"/>
            </w:tcBorders>
            <w:vAlign w:val="center"/>
          </w:tcPr>
          <w:p w14:paraId="631AAE00">
            <w:pPr>
              <w:spacing w:line="440" w:lineRule="exact"/>
              <w:jc w:val="center"/>
              <w:rPr>
                <w:rFonts w:eastAsia="仿宋_GB2312"/>
                <w:bCs/>
                <w:sz w:val="28"/>
                <w:szCs w:val="24"/>
              </w:rPr>
            </w:pPr>
            <w:r>
              <w:rPr>
                <w:rFonts w:eastAsia="仿宋_GB2312"/>
                <w:bCs/>
                <w:sz w:val="28"/>
                <w:szCs w:val="24"/>
              </w:rPr>
              <w:t>主要完成人</w:t>
            </w:r>
          </w:p>
        </w:tc>
        <w:tc>
          <w:tcPr>
            <w:tcW w:w="7796" w:type="dxa"/>
            <w:tcBorders>
              <w:left w:val="single" w:color="auto" w:sz="4" w:space="0"/>
            </w:tcBorders>
            <w:vAlign w:val="center"/>
          </w:tcPr>
          <w:p w14:paraId="11922F03">
            <w:pPr>
              <w:spacing w:after="0" w:line="240" w:lineRule="auto"/>
              <w:rPr>
                <w:rFonts w:eastAsia="仿宋_GB2312"/>
                <w:bCs/>
                <w:sz w:val="28"/>
                <w:szCs w:val="28"/>
              </w:rPr>
            </w:pPr>
            <w:r>
              <w:rPr>
                <w:rFonts w:hint="eastAsia" w:eastAsia="仿宋_GB2312"/>
                <w:bCs/>
                <w:sz w:val="28"/>
                <w:szCs w:val="28"/>
              </w:rPr>
              <w:t>陈莉丽</w:t>
            </w:r>
            <w:r>
              <w:rPr>
                <w:rFonts w:eastAsia="仿宋_GB2312"/>
                <w:bCs/>
                <w:sz w:val="28"/>
                <w:szCs w:val="28"/>
              </w:rPr>
              <w:t>，排名1，</w:t>
            </w:r>
            <w:r>
              <w:rPr>
                <w:rFonts w:hint="eastAsia" w:eastAsia="仿宋_GB2312"/>
                <w:bCs/>
                <w:sz w:val="28"/>
                <w:szCs w:val="28"/>
              </w:rPr>
              <w:t>主任医师</w:t>
            </w:r>
            <w:r>
              <w:rPr>
                <w:rFonts w:eastAsia="仿宋_GB2312"/>
                <w:bCs/>
                <w:sz w:val="28"/>
                <w:szCs w:val="28"/>
              </w:rPr>
              <w:t>，</w:t>
            </w:r>
            <w:r>
              <w:rPr>
                <w:rFonts w:hint="eastAsia" w:eastAsia="仿宋_GB2312"/>
                <w:bCs/>
                <w:sz w:val="28"/>
                <w:szCs w:val="28"/>
              </w:rPr>
              <w:t>浙江大学医学院附属第二医院</w:t>
            </w:r>
          </w:p>
          <w:p w14:paraId="302246FB">
            <w:pPr>
              <w:spacing w:after="0" w:line="240" w:lineRule="auto"/>
              <w:rPr>
                <w:rFonts w:eastAsia="仿宋_GB2312"/>
                <w:bCs/>
                <w:sz w:val="28"/>
                <w:szCs w:val="28"/>
              </w:rPr>
            </w:pPr>
            <w:r>
              <w:rPr>
                <w:rFonts w:hint="eastAsia" w:eastAsia="仿宋_GB2312"/>
                <w:bCs/>
                <w:sz w:val="28"/>
                <w:szCs w:val="28"/>
              </w:rPr>
              <w:t>吴燕岷</w:t>
            </w:r>
            <w:r>
              <w:rPr>
                <w:rFonts w:eastAsia="仿宋_GB2312"/>
                <w:bCs/>
                <w:sz w:val="28"/>
                <w:szCs w:val="28"/>
              </w:rPr>
              <w:t>，排名2，</w:t>
            </w:r>
            <w:r>
              <w:rPr>
                <w:rFonts w:hint="eastAsia" w:eastAsia="仿宋_GB2312"/>
                <w:bCs/>
                <w:sz w:val="28"/>
                <w:szCs w:val="28"/>
              </w:rPr>
              <w:t>主任医师</w:t>
            </w:r>
            <w:r>
              <w:rPr>
                <w:rFonts w:eastAsia="仿宋_GB2312"/>
                <w:bCs/>
                <w:sz w:val="28"/>
                <w:szCs w:val="28"/>
              </w:rPr>
              <w:t>，</w:t>
            </w:r>
            <w:r>
              <w:rPr>
                <w:rFonts w:hint="eastAsia" w:eastAsia="仿宋_GB2312"/>
                <w:bCs/>
                <w:sz w:val="28"/>
                <w:szCs w:val="28"/>
              </w:rPr>
              <w:t>浙江大学医学院附属第二医院</w:t>
            </w:r>
          </w:p>
          <w:p w14:paraId="2E09CA33">
            <w:pPr>
              <w:spacing w:after="0" w:line="240" w:lineRule="auto"/>
              <w:rPr>
                <w:rFonts w:eastAsia="仿宋_GB2312"/>
                <w:bCs/>
                <w:sz w:val="28"/>
                <w:szCs w:val="28"/>
              </w:rPr>
            </w:pPr>
            <w:r>
              <w:rPr>
                <w:rFonts w:hint="eastAsia" w:eastAsia="仿宋_GB2312"/>
                <w:bCs/>
                <w:sz w:val="28"/>
                <w:szCs w:val="28"/>
              </w:rPr>
              <w:t>雷利红</w:t>
            </w:r>
            <w:r>
              <w:rPr>
                <w:rFonts w:eastAsia="仿宋_GB2312"/>
                <w:bCs/>
                <w:sz w:val="28"/>
                <w:szCs w:val="28"/>
              </w:rPr>
              <w:t>，排名3，</w:t>
            </w:r>
            <w:r>
              <w:rPr>
                <w:rFonts w:hint="eastAsia" w:eastAsia="仿宋_GB2312"/>
                <w:bCs/>
                <w:sz w:val="28"/>
                <w:szCs w:val="28"/>
              </w:rPr>
              <w:t>副主任医师</w:t>
            </w:r>
            <w:r>
              <w:rPr>
                <w:rFonts w:eastAsia="仿宋_GB2312"/>
                <w:bCs/>
                <w:sz w:val="28"/>
                <w:szCs w:val="28"/>
              </w:rPr>
              <w:t>，</w:t>
            </w:r>
            <w:r>
              <w:rPr>
                <w:rFonts w:hint="eastAsia" w:eastAsia="仿宋_GB2312"/>
                <w:bCs/>
                <w:sz w:val="28"/>
                <w:szCs w:val="28"/>
              </w:rPr>
              <w:t>浙江大学医学院附属第二医院</w:t>
            </w:r>
          </w:p>
          <w:p w14:paraId="01D3FA46">
            <w:pPr>
              <w:spacing w:after="0" w:line="240" w:lineRule="auto"/>
              <w:rPr>
                <w:rFonts w:eastAsia="仿宋_GB2312"/>
                <w:bCs/>
                <w:sz w:val="28"/>
                <w:szCs w:val="28"/>
              </w:rPr>
            </w:pPr>
            <w:r>
              <w:rPr>
                <w:rFonts w:hint="eastAsia" w:eastAsia="仿宋_GB2312"/>
                <w:bCs/>
                <w:sz w:val="28"/>
                <w:szCs w:val="28"/>
              </w:rPr>
              <w:t>谭静怡</w:t>
            </w:r>
            <w:r>
              <w:rPr>
                <w:rFonts w:eastAsia="仿宋_GB2312"/>
                <w:bCs/>
                <w:sz w:val="28"/>
                <w:szCs w:val="28"/>
              </w:rPr>
              <w:t>，排名</w:t>
            </w:r>
            <w:r>
              <w:rPr>
                <w:rFonts w:hint="eastAsia" w:eastAsia="仿宋_GB2312"/>
                <w:bCs/>
                <w:sz w:val="28"/>
                <w:szCs w:val="28"/>
              </w:rPr>
              <w:t>4</w:t>
            </w:r>
            <w:r>
              <w:rPr>
                <w:rFonts w:eastAsia="仿宋_GB2312"/>
                <w:bCs/>
                <w:sz w:val="28"/>
                <w:szCs w:val="28"/>
              </w:rPr>
              <w:t>，</w:t>
            </w:r>
            <w:r>
              <w:rPr>
                <w:rFonts w:hint="eastAsia" w:eastAsia="仿宋_GB2312"/>
                <w:bCs/>
                <w:sz w:val="28"/>
                <w:szCs w:val="28"/>
              </w:rPr>
              <w:t>副主任医师</w:t>
            </w:r>
            <w:r>
              <w:rPr>
                <w:rFonts w:eastAsia="仿宋_GB2312"/>
                <w:bCs/>
                <w:sz w:val="28"/>
                <w:szCs w:val="28"/>
              </w:rPr>
              <w:t>，</w:t>
            </w:r>
            <w:r>
              <w:rPr>
                <w:rFonts w:hint="eastAsia" w:eastAsia="仿宋_GB2312"/>
                <w:bCs/>
                <w:sz w:val="28"/>
                <w:szCs w:val="28"/>
              </w:rPr>
              <w:t>浙江大学医学院附属第二医院</w:t>
            </w:r>
          </w:p>
          <w:p w14:paraId="3C34F2F2">
            <w:pPr>
              <w:spacing w:after="0" w:line="240" w:lineRule="auto"/>
              <w:rPr>
                <w:rFonts w:eastAsia="仿宋_GB2312"/>
                <w:bCs/>
                <w:sz w:val="28"/>
                <w:szCs w:val="28"/>
              </w:rPr>
            </w:pPr>
            <w:r>
              <w:rPr>
                <w:rFonts w:hint="eastAsia" w:eastAsia="仿宋_GB2312"/>
                <w:bCs/>
                <w:sz w:val="28"/>
                <w:szCs w:val="28"/>
              </w:rPr>
              <w:t>王中秀</w:t>
            </w:r>
            <w:r>
              <w:rPr>
                <w:rFonts w:eastAsia="仿宋_GB2312"/>
                <w:bCs/>
                <w:sz w:val="28"/>
                <w:szCs w:val="28"/>
              </w:rPr>
              <w:t>，排名</w:t>
            </w:r>
            <w:r>
              <w:rPr>
                <w:rFonts w:hint="eastAsia" w:eastAsia="仿宋_GB2312"/>
                <w:bCs/>
                <w:sz w:val="28"/>
                <w:szCs w:val="28"/>
              </w:rPr>
              <w:t>5</w:t>
            </w:r>
            <w:r>
              <w:rPr>
                <w:rFonts w:eastAsia="仿宋_GB2312"/>
                <w:bCs/>
                <w:sz w:val="28"/>
                <w:szCs w:val="28"/>
              </w:rPr>
              <w:t>，</w:t>
            </w:r>
            <w:r>
              <w:rPr>
                <w:rFonts w:hint="eastAsia" w:eastAsia="仿宋_GB2312"/>
                <w:bCs/>
                <w:sz w:val="28"/>
                <w:szCs w:val="28"/>
              </w:rPr>
              <w:t>主治医师</w:t>
            </w:r>
            <w:r>
              <w:rPr>
                <w:rFonts w:eastAsia="仿宋_GB2312"/>
                <w:bCs/>
                <w:sz w:val="28"/>
                <w:szCs w:val="28"/>
              </w:rPr>
              <w:t>，</w:t>
            </w:r>
            <w:r>
              <w:rPr>
                <w:rFonts w:hint="eastAsia" w:eastAsia="仿宋_GB2312"/>
                <w:bCs/>
                <w:sz w:val="28"/>
                <w:szCs w:val="28"/>
              </w:rPr>
              <w:t>浙江大学医学院附属第二医院</w:t>
            </w:r>
          </w:p>
          <w:p w14:paraId="56590B80">
            <w:pPr>
              <w:spacing w:after="0" w:line="240" w:lineRule="auto"/>
              <w:rPr>
                <w:rFonts w:eastAsia="仿宋_GB2312"/>
                <w:bCs/>
                <w:sz w:val="28"/>
                <w:szCs w:val="28"/>
              </w:rPr>
            </w:pPr>
            <w:r>
              <w:rPr>
                <w:rFonts w:hint="eastAsia" w:eastAsia="仿宋_GB2312"/>
                <w:bCs/>
                <w:sz w:val="28"/>
                <w:szCs w:val="28"/>
              </w:rPr>
              <w:t>韦应明</w:t>
            </w:r>
            <w:r>
              <w:rPr>
                <w:rFonts w:eastAsia="仿宋_GB2312"/>
                <w:bCs/>
                <w:sz w:val="28"/>
                <w:szCs w:val="28"/>
              </w:rPr>
              <w:t>，排名</w:t>
            </w:r>
            <w:r>
              <w:rPr>
                <w:rFonts w:hint="eastAsia" w:eastAsia="仿宋_GB2312"/>
                <w:bCs/>
                <w:sz w:val="28"/>
                <w:szCs w:val="28"/>
              </w:rPr>
              <w:t>6</w:t>
            </w:r>
            <w:r>
              <w:rPr>
                <w:rFonts w:eastAsia="仿宋_GB2312"/>
                <w:bCs/>
                <w:sz w:val="28"/>
                <w:szCs w:val="28"/>
              </w:rPr>
              <w:t>，</w:t>
            </w:r>
            <w:r>
              <w:rPr>
                <w:rFonts w:hint="eastAsia" w:eastAsia="仿宋_GB2312"/>
                <w:bCs/>
                <w:sz w:val="28"/>
                <w:szCs w:val="28"/>
              </w:rPr>
              <w:t>主治医师</w:t>
            </w:r>
            <w:r>
              <w:rPr>
                <w:rFonts w:eastAsia="仿宋_GB2312"/>
                <w:bCs/>
                <w:sz w:val="28"/>
                <w:szCs w:val="28"/>
              </w:rPr>
              <w:t>，</w:t>
            </w:r>
            <w:r>
              <w:rPr>
                <w:rFonts w:hint="eastAsia" w:eastAsia="仿宋_GB2312"/>
                <w:bCs/>
                <w:sz w:val="28"/>
                <w:szCs w:val="28"/>
              </w:rPr>
              <w:t>浙江大学医学院附属第二医院</w:t>
            </w:r>
          </w:p>
          <w:p w14:paraId="311B1953">
            <w:pPr>
              <w:spacing w:after="0" w:line="240" w:lineRule="auto"/>
              <w:rPr>
                <w:rFonts w:eastAsia="仿宋_GB2312"/>
                <w:bCs/>
                <w:sz w:val="28"/>
                <w:szCs w:val="28"/>
              </w:rPr>
            </w:pPr>
            <w:r>
              <w:rPr>
                <w:rFonts w:hint="eastAsia" w:eastAsia="仿宋_GB2312"/>
                <w:bCs/>
                <w:sz w:val="28"/>
                <w:szCs w:val="28"/>
              </w:rPr>
              <w:t>韩佳吟</w:t>
            </w:r>
            <w:r>
              <w:rPr>
                <w:rFonts w:eastAsia="仿宋_GB2312"/>
                <w:bCs/>
                <w:sz w:val="28"/>
                <w:szCs w:val="28"/>
              </w:rPr>
              <w:t>，排名</w:t>
            </w:r>
            <w:r>
              <w:rPr>
                <w:rFonts w:hint="eastAsia" w:eastAsia="仿宋_GB2312"/>
                <w:bCs/>
                <w:sz w:val="28"/>
                <w:szCs w:val="28"/>
              </w:rPr>
              <w:t>7</w:t>
            </w:r>
            <w:r>
              <w:rPr>
                <w:rFonts w:eastAsia="仿宋_GB2312"/>
                <w:bCs/>
                <w:sz w:val="28"/>
                <w:szCs w:val="28"/>
              </w:rPr>
              <w:t>，</w:t>
            </w:r>
            <w:r>
              <w:rPr>
                <w:rFonts w:hint="eastAsia" w:eastAsia="仿宋_GB2312"/>
                <w:bCs/>
                <w:sz w:val="28"/>
                <w:szCs w:val="28"/>
              </w:rPr>
              <w:t>主治医师</w:t>
            </w:r>
            <w:r>
              <w:rPr>
                <w:rFonts w:eastAsia="仿宋_GB2312"/>
                <w:bCs/>
                <w:sz w:val="28"/>
                <w:szCs w:val="28"/>
              </w:rPr>
              <w:t>，</w:t>
            </w:r>
            <w:r>
              <w:rPr>
                <w:rFonts w:hint="eastAsia" w:eastAsia="仿宋_GB2312"/>
                <w:bCs/>
                <w:sz w:val="28"/>
                <w:szCs w:val="28"/>
              </w:rPr>
              <w:t>浙江大学医学院附属第二医院</w:t>
            </w:r>
          </w:p>
          <w:p w14:paraId="489ED726">
            <w:pPr>
              <w:spacing w:after="0" w:line="240" w:lineRule="auto"/>
              <w:rPr>
                <w:rFonts w:eastAsia="仿宋_GB2312"/>
                <w:bCs/>
                <w:sz w:val="28"/>
                <w:szCs w:val="28"/>
              </w:rPr>
            </w:pPr>
            <w:r>
              <w:rPr>
                <w:rFonts w:hint="eastAsia" w:eastAsia="仿宋_GB2312"/>
                <w:bCs/>
                <w:sz w:val="28"/>
                <w:szCs w:val="28"/>
              </w:rPr>
              <w:t>包佳琦</w:t>
            </w:r>
            <w:r>
              <w:rPr>
                <w:rFonts w:eastAsia="仿宋_GB2312"/>
                <w:bCs/>
                <w:sz w:val="28"/>
                <w:szCs w:val="28"/>
              </w:rPr>
              <w:t>，排名</w:t>
            </w:r>
            <w:r>
              <w:rPr>
                <w:rFonts w:hint="eastAsia" w:eastAsia="仿宋_GB2312"/>
                <w:bCs/>
                <w:sz w:val="28"/>
                <w:szCs w:val="28"/>
              </w:rPr>
              <w:t>8</w:t>
            </w:r>
            <w:r>
              <w:rPr>
                <w:rFonts w:eastAsia="仿宋_GB2312"/>
                <w:bCs/>
                <w:sz w:val="28"/>
                <w:szCs w:val="28"/>
              </w:rPr>
              <w:t>，</w:t>
            </w:r>
            <w:r>
              <w:rPr>
                <w:rFonts w:hint="eastAsia" w:eastAsia="仿宋_GB2312"/>
                <w:bCs/>
                <w:sz w:val="28"/>
                <w:szCs w:val="28"/>
              </w:rPr>
              <w:t>主治医师</w:t>
            </w:r>
            <w:r>
              <w:rPr>
                <w:rFonts w:eastAsia="仿宋_GB2312"/>
                <w:bCs/>
                <w:sz w:val="28"/>
                <w:szCs w:val="28"/>
              </w:rPr>
              <w:t>，</w:t>
            </w:r>
            <w:r>
              <w:rPr>
                <w:rFonts w:hint="eastAsia" w:eastAsia="仿宋_GB2312"/>
                <w:bCs/>
                <w:sz w:val="28"/>
                <w:szCs w:val="28"/>
              </w:rPr>
              <w:t>浙江大学医学院附属第二医院</w:t>
            </w:r>
          </w:p>
        </w:tc>
      </w:tr>
      <w:tr w14:paraId="02AD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6" w:hRule="atLeast"/>
        </w:trPr>
        <w:tc>
          <w:tcPr>
            <w:tcW w:w="2127" w:type="dxa"/>
            <w:tcBorders>
              <w:right w:val="single" w:color="auto" w:sz="4" w:space="0"/>
            </w:tcBorders>
            <w:vAlign w:val="center"/>
          </w:tcPr>
          <w:p w14:paraId="66853C20">
            <w:pPr>
              <w:spacing w:line="440" w:lineRule="exact"/>
              <w:jc w:val="center"/>
              <w:rPr>
                <w:rFonts w:eastAsia="仿宋"/>
                <w:bCs/>
                <w:sz w:val="24"/>
                <w:szCs w:val="24"/>
              </w:rPr>
            </w:pPr>
            <w:r>
              <w:rPr>
                <w:rFonts w:eastAsia="仿宋"/>
                <w:bCs/>
                <w:sz w:val="28"/>
                <w:szCs w:val="24"/>
              </w:rPr>
              <w:t>主要完成单位</w:t>
            </w:r>
          </w:p>
        </w:tc>
        <w:tc>
          <w:tcPr>
            <w:tcW w:w="7796" w:type="dxa"/>
            <w:tcBorders>
              <w:left w:val="single" w:color="auto" w:sz="4" w:space="0"/>
            </w:tcBorders>
            <w:vAlign w:val="center"/>
          </w:tcPr>
          <w:p w14:paraId="2F80FE6E">
            <w:pPr>
              <w:spacing w:line="440" w:lineRule="exact"/>
              <w:jc w:val="center"/>
              <w:rPr>
                <w:rFonts w:eastAsia="仿宋"/>
                <w:bCs/>
                <w:sz w:val="28"/>
                <w:szCs w:val="28"/>
              </w:rPr>
            </w:pPr>
            <w:r>
              <w:rPr>
                <w:rStyle w:val="36"/>
                <w:rFonts w:hint="eastAsia"/>
                <w:b w:val="0"/>
                <w:color w:val="auto"/>
                <w:sz w:val="28"/>
                <w:szCs w:val="28"/>
              </w:rPr>
              <w:t>浙江大学医学院附属第二医院</w:t>
            </w:r>
          </w:p>
        </w:tc>
      </w:tr>
      <w:tr w14:paraId="08EAD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27" w:type="dxa"/>
            <w:vAlign w:val="center"/>
          </w:tcPr>
          <w:p w14:paraId="5550C668">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7796" w:type="dxa"/>
            <w:vAlign w:val="center"/>
          </w:tcPr>
          <w:p w14:paraId="16D8741B">
            <w:pPr>
              <w:contextualSpacing/>
              <w:jc w:val="center"/>
              <w:rPr>
                <w:rStyle w:val="36"/>
                <w:b w:val="0"/>
                <w:color w:val="auto"/>
                <w:sz w:val="28"/>
                <w:szCs w:val="28"/>
              </w:rPr>
            </w:pPr>
            <w:r>
              <w:rPr>
                <w:rStyle w:val="36"/>
                <w:rFonts w:hint="eastAsia"/>
                <w:b w:val="0"/>
                <w:color w:val="auto"/>
                <w:sz w:val="28"/>
                <w:szCs w:val="28"/>
              </w:rPr>
              <w:t>浙江大学</w:t>
            </w:r>
          </w:p>
        </w:tc>
      </w:tr>
      <w:tr w14:paraId="7904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1" w:hRule="atLeast"/>
        </w:trPr>
        <w:tc>
          <w:tcPr>
            <w:tcW w:w="2127" w:type="dxa"/>
            <w:vAlign w:val="center"/>
          </w:tcPr>
          <w:p w14:paraId="356C013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7796" w:type="dxa"/>
            <w:vAlign w:val="center"/>
          </w:tcPr>
          <w:p w14:paraId="7AABC7D7">
            <w:pPr>
              <w:pStyle w:val="39"/>
              <w:kinsoku/>
              <w:spacing w:line="276" w:lineRule="auto"/>
              <w:ind w:right="103" w:rightChars="49" w:firstLine="560" w:firstLineChars="200"/>
              <w:jc w:val="both"/>
              <w:textAlignment w:val="auto"/>
              <w:rPr>
                <w:rFonts w:hint="eastAsia" w:cs="楷体"/>
                <w:sz w:val="28"/>
                <w:szCs w:val="28"/>
                <w:lang w:eastAsia="zh-CN"/>
              </w:rPr>
            </w:pPr>
            <w:r>
              <w:rPr>
                <w:rFonts w:hint="eastAsia" w:ascii="Times New Roman" w:hAnsi="Times New Roman" w:cs="楷体"/>
                <w:snapToGrid/>
                <w:sz w:val="28"/>
                <w:szCs w:val="28"/>
                <w:lang w:eastAsia="zh-CN"/>
              </w:rPr>
              <w:t>牙周</w:t>
            </w:r>
            <w:r>
              <w:rPr>
                <w:rFonts w:hint="eastAsia" w:cs="楷体"/>
                <w:sz w:val="28"/>
                <w:szCs w:val="28"/>
                <w:lang w:eastAsia="zh-CN"/>
              </w:rPr>
              <w:t>炎</w:t>
            </w:r>
            <w:r>
              <w:rPr>
                <w:rFonts w:hint="eastAsia" w:ascii="Times New Roman" w:hAnsi="Times New Roman" w:cs="楷体"/>
                <w:snapToGrid/>
                <w:sz w:val="28"/>
                <w:szCs w:val="28"/>
                <w:lang w:eastAsia="zh-CN"/>
              </w:rPr>
              <w:t>是</w:t>
            </w:r>
            <w:r>
              <w:rPr>
                <w:rFonts w:hint="eastAsia" w:cs="楷体"/>
                <w:sz w:val="28"/>
                <w:szCs w:val="28"/>
                <w:lang w:eastAsia="zh-CN"/>
              </w:rPr>
              <w:t>严重影响口腔健康的疾病，致牙槽骨不可逆</w:t>
            </w:r>
            <w:r>
              <w:rPr>
                <w:rFonts w:hint="eastAsia" w:ascii="Times New Roman" w:hAnsi="Times New Roman" w:cs="楷体"/>
                <w:sz w:val="28"/>
                <w:szCs w:val="28"/>
                <w:lang w:eastAsia="zh-CN"/>
              </w:rPr>
              <w:t>破坏</w:t>
            </w:r>
            <w:r>
              <w:rPr>
                <w:rFonts w:hint="eastAsia" w:cs="楷体"/>
                <w:sz w:val="28"/>
                <w:szCs w:val="28"/>
                <w:lang w:eastAsia="zh-CN"/>
              </w:rPr>
              <w:t>。团队在炎性环境牙周软硬组织再生治疗体系创新及应用领域取得了一系列高水平成果，涵盖诊疗模式革新、手术技术创新、生物材料研发，形成面向重度牙周炎全周期的临床解决方案。</w:t>
            </w:r>
          </w:p>
          <w:p w14:paraId="2B1E89C1">
            <w:pPr>
              <w:pStyle w:val="39"/>
              <w:kinsoku/>
              <w:spacing w:line="276" w:lineRule="auto"/>
              <w:ind w:left="103" w:leftChars="49" w:right="103" w:rightChars="49" w:firstLine="560" w:firstLineChars="200"/>
              <w:jc w:val="both"/>
              <w:textAlignment w:val="auto"/>
              <w:rPr>
                <w:rFonts w:hint="eastAsia" w:cs="楷体"/>
                <w:sz w:val="28"/>
                <w:szCs w:val="28"/>
                <w:lang w:eastAsia="zh-CN"/>
              </w:rPr>
            </w:pPr>
            <w:r>
              <w:rPr>
                <w:rFonts w:hint="eastAsia" w:cs="楷体"/>
                <w:sz w:val="28"/>
                <w:szCs w:val="28"/>
                <w:lang w:eastAsia="zh-CN"/>
              </w:rPr>
              <w:t>团队创立牙周炎智能分级系统，实现牙周炎检查-诊断-方案制定-风险评估的高效AI诊疗模式；开发3D打印牙槽骨缺损模型联合富血小板血浆蛋白诱导牙周组织再生新术式，显著提高牙周再生手术缺损修复效果；针对重度牙周炎伴牙龈丧失问题，设计了改良去上皮结缔组织转瓣联合根向复位的创新微创技术，稳定改善牙周组织表型。</w:t>
            </w:r>
          </w:p>
          <w:p w14:paraId="4D977FDD">
            <w:pPr>
              <w:pStyle w:val="39"/>
              <w:kinsoku/>
              <w:spacing w:line="276" w:lineRule="auto"/>
              <w:ind w:left="103" w:leftChars="49" w:right="103" w:rightChars="49" w:firstLine="560" w:firstLineChars="200"/>
              <w:jc w:val="both"/>
              <w:textAlignment w:val="auto"/>
              <w:rPr>
                <w:rFonts w:hint="eastAsia" w:cs="楷体"/>
                <w:sz w:val="28"/>
                <w:szCs w:val="28"/>
                <w:lang w:eastAsia="zh-CN"/>
              </w:rPr>
            </w:pPr>
            <w:r>
              <w:rPr>
                <w:rFonts w:hint="eastAsia" w:cs="楷体"/>
                <w:sz w:val="28"/>
                <w:szCs w:val="28"/>
                <w:lang w:eastAsia="zh-CN"/>
              </w:rPr>
              <w:t>自主研发可调谐掺镁硅酸钙模块精准契合牙槽骨形态，适配天然骨改建速率，解决牙槽骨难以再生问题。率先提出的“自噬-铁死亡-外泌体”多维调控体系为研发促炎性环境牙槽骨修复的生物材料搭建了理论框架。</w:t>
            </w:r>
          </w:p>
          <w:p w14:paraId="48111774">
            <w:pPr>
              <w:pStyle w:val="39"/>
              <w:spacing w:line="276" w:lineRule="auto"/>
              <w:ind w:left="103" w:leftChars="49" w:right="103" w:rightChars="49" w:firstLine="560" w:firstLineChars="200"/>
              <w:jc w:val="both"/>
              <w:rPr>
                <w:rFonts w:hint="eastAsia" w:cs="楷体"/>
                <w:sz w:val="28"/>
                <w:szCs w:val="28"/>
                <w:lang w:eastAsia="zh-CN"/>
              </w:rPr>
            </w:pPr>
            <w:r>
              <w:rPr>
                <w:rFonts w:hint="eastAsia" w:cs="楷体"/>
                <w:sz w:val="28"/>
                <w:szCs w:val="28"/>
                <w:lang w:eastAsia="zh-CN"/>
              </w:rPr>
              <w:t>关键成果在上海交通大学附属第九人民医院、南京医科大学口腔医院、山东大学口腔医院等十余家口腔权威三甲医疗机构推广应用，临床效果显著，方法实用，同行反响良好。</w:t>
            </w:r>
            <w:r>
              <w:rPr>
                <w:rFonts w:hint="eastAsia"/>
                <w:bCs/>
                <w:spacing w:val="2"/>
                <w:sz w:val="28"/>
                <w:szCs w:val="28"/>
                <w:lang w:eastAsia="zh-CN"/>
              </w:rPr>
              <w:t>成果总体处于国内领先水平，部分成果国际先进</w:t>
            </w:r>
            <w:r>
              <w:rPr>
                <w:rFonts w:hint="eastAsia" w:cs="楷体"/>
                <w:sz w:val="28"/>
                <w:szCs w:val="28"/>
                <w:lang w:eastAsia="zh-CN"/>
              </w:rPr>
              <w:t xml:space="preserve">。 </w:t>
            </w:r>
          </w:p>
          <w:p w14:paraId="52BD92A2">
            <w:pPr>
              <w:pStyle w:val="39"/>
              <w:spacing w:line="276" w:lineRule="auto"/>
              <w:ind w:left="103" w:leftChars="49" w:right="103" w:rightChars="49" w:firstLine="560" w:firstLineChars="200"/>
              <w:jc w:val="both"/>
              <w:rPr>
                <w:rFonts w:hint="eastAsia" w:cs="楷体"/>
                <w:sz w:val="28"/>
                <w:szCs w:val="28"/>
                <w:lang w:eastAsia="zh-CN"/>
              </w:rPr>
            </w:pPr>
            <w:r>
              <w:rPr>
                <w:rFonts w:hint="eastAsia" w:cs="楷体"/>
                <w:sz w:val="28"/>
                <w:szCs w:val="28"/>
                <w:lang w:eastAsia="zh-CN"/>
              </w:rPr>
              <w:t>项目相关论文共63篇，总影响因子208，他引1045次，最高单篇他引91次。国家发明专利3项、实用新型专利1项。</w:t>
            </w:r>
          </w:p>
          <w:p w14:paraId="5578694A">
            <w:pPr>
              <w:pStyle w:val="39"/>
              <w:kinsoku/>
              <w:spacing w:line="276" w:lineRule="auto"/>
              <w:ind w:left="103" w:leftChars="49" w:right="103" w:rightChars="49" w:firstLine="560" w:firstLineChars="200"/>
              <w:jc w:val="both"/>
              <w:textAlignment w:val="auto"/>
              <w:rPr>
                <w:rFonts w:hint="eastAsia" w:cs="楷体"/>
                <w:sz w:val="28"/>
                <w:szCs w:val="28"/>
                <w:lang w:eastAsia="zh-CN"/>
              </w:rPr>
            </w:pPr>
            <w:r>
              <w:rPr>
                <w:rFonts w:hint="eastAsia" w:cs="楷体"/>
                <w:sz w:val="28"/>
                <w:szCs w:val="28"/>
                <w:lang w:eastAsia="zh-CN"/>
              </w:rPr>
              <w:t>2023年获首批国家口腔医学中心牙周专科联盟成员单位。2015年，陈莉丽任浙江省口腔医学会副会长、浙江省口腔医学会牙周病学分会主任委员；2017年任中华口腔医学会牙周病学分会副主任委员。</w:t>
            </w:r>
          </w:p>
          <w:p w14:paraId="0B7740F9">
            <w:pPr>
              <w:spacing w:after="0" w:line="276" w:lineRule="auto"/>
              <w:ind w:firstLine="568" w:firstLineChars="200"/>
              <w:rPr>
                <w:rStyle w:val="36"/>
                <w:b w:val="0"/>
                <w:color w:val="auto"/>
                <w:spacing w:val="2"/>
                <w:sz w:val="28"/>
                <w:szCs w:val="28"/>
              </w:rPr>
            </w:pPr>
            <w:r>
              <w:rPr>
                <w:bCs/>
                <w:spacing w:val="2"/>
                <w:sz w:val="28"/>
                <w:szCs w:val="28"/>
              </w:rPr>
              <w:t>提名该成果为省科学技术进步奖</w:t>
            </w:r>
            <w:r>
              <w:rPr>
                <w:rFonts w:hint="eastAsia"/>
                <w:bCs/>
                <w:spacing w:val="2"/>
                <w:sz w:val="28"/>
                <w:szCs w:val="28"/>
              </w:rPr>
              <w:t>二</w:t>
            </w:r>
            <w:r>
              <w:rPr>
                <w:bCs/>
                <w:spacing w:val="2"/>
                <w:sz w:val="28"/>
                <w:szCs w:val="28"/>
              </w:rPr>
              <w:t>等奖</w:t>
            </w:r>
            <w:r>
              <w:rPr>
                <w:rFonts w:hint="eastAsia"/>
                <w:bCs/>
                <w:spacing w:val="2"/>
                <w:sz w:val="28"/>
                <w:szCs w:val="28"/>
              </w:rPr>
              <w:t>。</w:t>
            </w:r>
          </w:p>
        </w:tc>
      </w:tr>
    </w:tbl>
    <w:p w14:paraId="43B066D5">
      <w:pPr>
        <w:pStyle w:val="4"/>
        <w:jc w:val="center"/>
        <w:rPr>
          <w:rFonts w:eastAsia="方正黑体简体"/>
          <w:sz w:val="32"/>
          <w:szCs w:val="22"/>
        </w:rPr>
      </w:pPr>
    </w:p>
    <w:p w14:paraId="1898F1B6">
      <w:pPr>
        <w:pStyle w:val="4"/>
        <w:jc w:val="center"/>
        <w:rPr>
          <w:rFonts w:eastAsia="方正黑体简体"/>
          <w:sz w:val="32"/>
          <w:szCs w:val="22"/>
        </w:rPr>
      </w:pPr>
    </w:p>
    <w:p w14:paraId="71A3FB40">
      <w:pPr>
        <w:pStyle w:val="4"/>
        <w:jc w:val="center"/>
        <w:rPr>
          <w:rFonts w:eastAsia="方正黑体简体"/>
          <w:sz w:val="32"/>
          <w:szCs w:val="22"/>
        </w:rPr>
      </w:pPr>
    </w:p>
    <w:p w14:paraId="57E3CEE4">
      <w:pPr>
        <w:pStyle w:val="4"/>
        <w:jc w:val="center"/>
        <w:rPr>
          <w:rFonts w:eastAsia="方正黑体简体"/>
          <w:sz w:val="32"/>
          <w:szCs w:val="22"/>
        </w:rPr>
      </w:pPr>
    </w:p>
    <w:p w14:paraId="5BF31F31">
      <w:pPr>
        <w:pStyle w:val="4"/>
        <w:jc w:val="center"/>
        <w:rPr>
          <w:rFonts w:eastAsia="方正黑体简体"/>
          <w:sz w:val="32"/>
          <w:szCs w:val="22"/>
        </w:rPr>
      </w:pPr>
    </w:p>
    <w:p w14:paraId="44E8C253">
      <w:pPr>
        <w:pStyle w:val="4"/>
        <w:jc w:val="center"/>
        <w:rPr>
          <w:rFonts w:eastAsia="方正黑体简体"/>
          <w:sz w:val="32"/>
          <w:szCs w:val="22"/>
        </w:rPr>
      </w:pPr>
    </w:p>
    <w:p w14:paraId="6235EFD6">
      <w:pPr>
        <w:pStyle w:val="4"/>
        <w:jc w:val="center"/>
        <w:rPr>
          <w:rFonts w:eastAsia="方正黑体简体"/>
          <w:sz w:val="32"/>
          <w:szCs w:val="22"/>
        </w:rPr>
      </w:pPr>
    </w:p>
    <w:p w14:paraId="64250BAB">
      <w:pPr>
        <w:pStyle w:val="4"/>
        <w:jc w:val="center"/>
        <w:rPr>
          <w:rFonts w:eastAsia="方正黑体简体"/>
          <w:sz w:val="32"/>
          <w:szCs w:val="22"/>
        </w:rPr>
      </w:pPr>
    </w:p>
    <w:p w14:paraId="7286E76E">
      <w:pPr>
        <w:pStyle w:val="4"/>
        <w:jc w:val="center"/>
        <w:rPr>
          <w:rFonts w:eastAsia="方正黑体简体"/>
          <w:sz w:val="32"/>
          <w:szCs w:val="22"/>
        </w:rPr>
        <w:sectPr>
          <w:pgSz w:w="12242" w:h="15842"/>
          <w:pgMar w:top="1247" w:right="1134" w:bottom="1247" w:left="1418" w:header="851" w:footer="794" w:gutter="0"/>
          <w:cols w:space="720" w:num="1"/>
          <w:docGrid w:linePitch="286" w:charSpace="0"/>
        </w:sectPr>
      </w:pPr>
    </w:p>
    <w:p w14:paraId="7B80290A">
      <w:pPr>
        <w:pStyle w:val="4"/>
        <w:jc w:val="center"/>
        <w:rPr>
          <w:rFonts w:eastAsia="方正黑体简体"/>
          <w:sz w:val="32"/>
          <w:szCs w:val="22"/>
        </w:rPr>
      </w:pPr>
      <w:r>
        <w:rPr>
          <w:rFonts w:eastAsia="方正黑体简体"/>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56FE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EB366A1">
            <w:pPr>
              <w:jc w:val="center"/>
              <w:rPr>
                <w:rFonts w:eastAsia="仿宋_GB2312"/>
                <w:sz w:val="24"/>
                <w:szCs w:val="21"/>
              </w:rPr>
            </w:pPr>
            <w:r>
              <w:rPr>
                <w:rFonts w:eastAsia="仿宋_GB2312"/>
                <w:sz w:val="24"/>
                <w:szCs w:val="21"/>
              </w:rPr>
              <w:t>知识产权</w:t>
            </w:r>
          </w:p>
          <w:p w14:paraId="43753463">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02678439">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58483268">
            <w:pPr>
              <w:jc w:val="center"/>
              <w:rPr>
                <w:rFonts w:eastAsia="仿宋_GB2312"/>
                <w:sz w:val="24"/>
                <w:szCs w:val="21"/>
              </w:rPr>
            </w:pPr>
            <w:r>
              <w:rPr>
                <w:rFonts w:eastAsia="仿宋_GB2312"/>
                <w:sz w:val="24"/>
                <w:szCs w:val="21"/>
              </w:rPr>
              <w:t>国家</w:t>
            </w:r>
          </w:p>
          <w:p w14:paraId="64C2A65C">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1A74FB74">
            <w:pPr>
              <w:jc w:val="center"/>
              <w:rPr>
                <w:rFonts w:eastAsia="仿宋_GB2312"/>
                <w:sz w:val="24"/>
                <w:szCs w:val="21"/>
              </w:rPr>
            </w:pPr>
            <w:r>
              <w:rPr>
                <w:rFonts w:eastAsia="仿宋_GB2312"/>
                <w:sz w:val="24"/>
                <w:szCs w:val="21"/>
              </w:rPr>
              <w:t>授权号</w:t>
            </w:r>
          </w:p>
          <w:p w14:paraId="14DF576D">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5729B29C">
            <w:pPr>
              <w:jc w:val="center"/>
              <w:rPr>
                <w:rFonts w:eastAsia="仿宋_GB2312"/>
                <w:sz w:val="24"/>
                <w:szCs w:val="21"/>
              </w:rPr>
            </w:pPr>
            <w:r>
              <w:rPr>
                <w:rFonts w:eastAsia="仿宋_GB2312"/>
                <w:sz w:val="24"/>
                <w:szCs w:val="21"/>
              </w:rPr>
              <w:t>授权</w:t>
            </w:r>
          </w:p>
          <w:p w14:paraId="75B5E57B">
            <w:pPr>
              <w:jc w:val="center"/>
              <w:rPr>
                <w:rFonts w:eastAsia="仿宋_GB2312"/>
                <w:sz w:val="24"/>
                <w:szCs w:val="21"/>
              </w:rPr>
            </w:pPr>
            <w:r>
              <w:rPr>
                <w:rFonts w:eastAsia="仿宋_GB2312"/>
                <w:sz w:val="24"/>
                <w:szCs w:val="21"/>
              </w:rPr>
              <w:t>（标准发布）</w:t>
            </w:r>
          </w:p>
          <w:p w14:paraId="5E31A594">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31AA0F62">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641CFCAA">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4715EC56">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2F186C45">
            <w:pPr>
              <w:jc w:val="center"/>
              <w:rPr>
                <w:rFonts w:eastAsia="仿宋_GB2312"/>
                <w:sz w:val="24"/>
                <w:szCs w:val="21"/>
              </w:rPr>
            </w:pPr>
            <w:r>
              <w:rPr>
                <w:rFonts w:eastAsia="仿宋_GB2312"/>
                <w:sz w:val="24"/>
                <w:szCs w:val="21"/>
              </w:rPr>
              <w:t>发明专利（标准规范）有效状态</w:t>
            </w:r>
          </w:p>
        </w:tc>
      </w:tr>
      <w:tr w14:paraId="10E5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812640E">
            <w:pPr>
              <w:rPr>
                <w:sz w:val="28"/>
                <w:szCs w:val="28"/>
              </w:rPr>
            </w:pPr>
            <w:bookmarkStart w:id="1" w:name="OLE_LINK5"/>
            <w:r>
              <w:rPr>
                <w:rFonts w:hint="eastAsia"/>
                <w:sz w:val="24"/>
                <w:szCs w:val="24"/>
              </w:rPr>
              <w:t>国家发明专利</w:t>
            </w:r>
            <w:bookmarkEnd w:id="1"/>
          </w:p>
        </w:tc>
        <w:tc>
          <w:tcPr>
            <w:tcW w:w="2577" w:type="dxa"/>
            <w:tcBorders>
              <w:top w:val="single" w:color="auto" w:sz="4" w:space="0"/>
              <w:left w:val="single" w:color="auto" w:sz="4" w:space="0"/>
              <w:bottom w:val="single" w:color="auto" w:sz="4" w:space="0"/>
              <w:right w:val="single" w:color="auto" w:sz="4" w:space="0"/>
            </w:tcBorders>
          </w:tcPr>
          <w:p w14:paraId="74956E56">
            <w:pPr>
              <w:rPr>
                <w:sz w:val="28"/>
                <w:szCs w:val="28"/>
              </w:rPr>
            </w:pPr>
            <w:r>
              <w:rPr>
                <w:rFonts w:hint="eastAsia"/>
                <w:sz w:val="24"/>
                <w:szCs w:val="24"/>
              </w:rPr>
              <w:t>一种区域功能特异性临床牙周缺损修复模块的制备方法</w:t>
            </w:r>
          </w:p>
        </w:tc>
        <w:tc>
          <w:tcPr>
            <w:tcW w:w="992" w:type="dxa"/>
            <w:tcBorders>
              <w:top w:val="single" w:color="auto" w:sz="4" w:space="0"/>
              <w:left w:val="single" w:color="auto" w:sz="4" w:space="0"/>
              <w:bottom w:val="single" w:color="auto" w:sz="4" w:space="0"/>
              <w:right w:val="single" w:color="auto" w:sz="4" w:space="0"/>
            </w:tcBorders>
          </w:tcPr>
          <w:p w14:paraId="23B6BFD2">
            <w:pPr>
              <w:rPr>
                <w:sz w:val="28"/>
                <w:szCs w:val="28"/>
              </w:rPr>
            </w:pPr>
            <w:r>
              <w:rPr>
                <w:rFonts w:hint="eastAsia"/>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34E9A864">
            <w:pPr>
              <w:rPr>
                <w:sz w:val="28"/>
                <w:szCs w:val="28"/>
              </w:rPr>
            </w:pPr>
            <w:r>
              <w:rPr>
                <w:sz w:val="24"/>
                <w:szCs w:val="24"/>
              </w:rPr>
              <w:t>ZL 2020</w:t>
            </w:r>
            <w:r>
              <w:rPr>
                <w:rFonts w:hint="eastAsia"/>
                <w:sz w:val="24"/>
                <w:szCs w:val="24"/>
              </w:rPr>
              <w:t xml:space="preserve"> </w:t>
            </w:r>
            <w:r>
              <w:rPr>
                <w:sz w:val="24"/>
                <w:szCs w:val="24"/>
              </w:rPr>
              <w:t>1</w:t>
            </w:r>
            <w:r>
              <w:rPr>
                <w:rFonts w:hint="eastAsia"/>
                <w:sz w:val="24"/>
                <w:szCs w:val="24"/>
              </w:rPr>
              <w:t xml:space="preserve"> </w:t>
            </w:r>
            <w:r>
              <w:rPr>
                <w:sz w:val="24"/>
                <w:szCs w:val="24"/>
              </w:rPr>
              <w:t>1582977. 0</w:t>
            </w:r>
          </w:p>
        </w:tc>
        <w:tc>
          <w:tcPr>
            <w:tcW w:w="1213" w:type="dxa"/>
            <w:tcBorders>
              <w:top w:val="single" w:color="auto" w:sz="4" w:space="0"/>
              <w:left w:val="single" w:color="auto" w:sz="4" w:space="0"/>
              <w:bottom w:val="single" w:color="auto" w:sz="4" w:space="0"/>
              <w:right w:val="single" w:color="auto" w:sz="4" w:space="0"/>
            </w:tcBorders>
          </w:tcPr>
          <w:p w14:paraId="02EDDAA6">
            <w:pPr>
              <w:rPr>
                <w:sz w:val="28"/>
                <w:szCs w:val="28"/>
              </w:rPr>
            </w:pPr>
            <w:r>
              <w:rPr>
                <w:rFonts w:hint="eastAsia"/>
                <w:sz w:val="24"/>
                <w:szCs w:val="24"/>
              </w:rPr>
              <w:t>2021 年 10月 29 日</w:t>
            </w:r>
          </w:p>
        </w:tc>
        <w:tc>
          <w:tcPr>
            <w:tcW w:w="1213" w:type="dxa"/>
            <w:tcBorders>
              <w:top w:val="single" w:color="auto" w:sz="4" w:space="0"/>
              <w:left w:val="single" w:color="auto" w:sz="4" w:space="0"/>
              <w:bottom w:val="single" w:color="auto" w:sz="4" w:space="0"/>
              <w:right w:val="single" w:color="auto" w:sz="4" w:space="0"/>
            </w:tcBorders>
          </w:tcPr>
          <w:p w14:paraId="79E9CF5E">
            <w:pPr>
              <w:rPr>
                <w:sz w:val="28"/>
                <w:szCs w:val="28"/>
              </w:rPr>
            </w:pPr>
            <w:r>
              <w:rPr>
                <w:rFonts w:hint="eastAsia"/>
                <w:sz w:val="24"/>
                <w:szCs w:val="24"/>
              </w:rPr>
              <w:t>4763358</w:t>
            </w:r>
          </w:p>
        </w:tc>
        <w:tc>
          <w:tcPr>
            <w:tcW w:w="1213" w:type="dxa"/>
            <w:tcBorders>
              <w:top w:val="single" w:color="auto" w:sz="4" w:space="0"/>
              <w:left w:val="single" w:color="auto" w:sz="4" w:space="0"/>
              <w:bottom w:val="single" w:color="auto" w:sz="4" w:space="0"/>
              <w:right w:val="single" w:color="auto" w:sz="4" w:space="0"/>
            </w:tcBorders>
          </w:tcPr>
          <w:p w14:paraId="19C54AC8">
            <w:pPr>
              <w:rPr>
                <w:sz w:val="28"/>
                <w:szCs w:val="28"/>
              </w:rPr>
            </w:pPr>
            <w:r>
              <w:rPr>
                <w:rFonts w:hint="eastAsia"/>
                <w:sz w:val="24"/>
                <w:szCs w:val="24"/>
              </w:rPr>
              <w:t>浙江大学</w:t>
            </w:r>
          </w:p>
        </w:tc>
        <w:tc>
          <w:tcPr>
            <w:tcW w:w="2215" w:type="dxa"/>
            <w:tcBorders>
              <w:top w:val="single" w:color="auto" w:sz="4" w:space="0"/>
              <w:left w:val="single" w:color="auto" w:sz="4" w:space="0"/>
              <w:bottom w:val="single" w:color="auto" w:sz="4" w:space="0"/>
              <w:right w:val="single" w:color="auto" w:sz="4" w:space="0"/>
            </w:tcBorders>
          </w:tcPr>
          <w:p w14:paraId="40D287FD">
            <w:pPr>
              <w:rPr>
                <w:sz w:val="28"/>
                <w:szCs w:val="28"/>
              </w:rPr>
            </w:pPr>
            <w:r>
              <w:rPr>
                <w:rFonts w:hint="eastAsia"/>
                <w:sz w:val="24"/>
                <w:szCs w:val="24"/>
              </w:rPr>
              <w:t>雷利红、韦应明、韩佳吟、蒋晓健、陈莉丽、孙伟莲</w:t>
            </w:r>
          </w:p>
        </w:tc>
        <w:tc>
          <w:tcPr>
            <w:tcW w:w="2215" w:type="dxa"/>
            <w:tcBorders>
              <w:top w:val="single" w:color="auto" w:sz="4" w:space="0"/>
              <w:left w:val="single" w:color="auto" w:sz="4" w:space="0"/>
              <w:bottom w:val="single" w:color="auto" w:sz="4" w:space="0"/>
              <w:right w:val="single" w:color="auto" w:sz="4" w:space="0"/>
            </w:tcBorders>
          </w:tcPr>
          <w:p w14:paraId="67B7CAA0">
            <w:pPr>
              <w:rPr>
                <w:sz w:val="28"/>
                <w:szCs w:val="28"/>
              </w:rPr>
            </w:pPr>
            <w:r>
              <w:rPr>
                <w:rFonts w:hint="eastAsia"/>
                <w:sz w:val="24"/>
                <w:szCs w:val="24"/>
              </w:rPr>
              <w:t>有效</w:t>
            </w:r>
          </w:p>
        </w:tc>
      </w:tr>
      <w:tr w14:paraId="725D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48E8E1A3">
            <w:pPr>
              <w:rPr>
                <w:sz w:val="28"/>
                <w:szCs w:val="28"/>
              </w:rPr>
            </w:pPr>
            <w:r>
              <w:rPr>
                <w:rFonts w:hint="eastAsia"/>
                <w:sz w:val="24"/>
                <w:szCs w:val="24"/>
              </w:rPr>
              <w:t>国家发明专利</w:t>
            </w:r>
          </w:p>
        </w:tc>
        <w:tc>
          <w:tcPr>
            <w:tcW w:w="2577" w:type="dxa"/>
            <w:tcBorders>
              <w:top w:val="single" w:color="auto" w:sz="4" w:space="0"/>
              <w:left w:val="single" w:color="auto" w:sz="4" w:space="0"/>
              <w:bottom w:val="single" w:color="auto" w:sz="4" w:space="0"/>
              <w:right w:val="single" w:color="auto" w:sz="4" w:space="0"/>
            </w:tcBorders>
          </w:tcPr>
          <w:p w14:paraId="29250A33">
            <w:pPr>
              <w:rPr>
                <w:sz w:val="28"/>
                <w:szCs w:val="28"/>
              </w:rPr>
            </w:pPr>
            <w:r>
              <w:rPr>
                <w:rFonts w:hint="eastAsia"/>
                <w:sz w:val="24"/>
                <w:szCs w:val="24"/>
              </w:rPr>
              <w:t>基于二阶段深度学习模型的全景片牙周炎智能分级系统</w:t>
            </w:r>
          </w:p>
        </w:tc>
        <w:tc>
          <w:tcPr>
            <w:tcW w:w="992" w:type="dxa"/>
            <w:tcBorders>
              <w:top w:val="single" w:color="auto" w:sz="4" w:space="0"/>
              <w:left w:val="single" w:color="auto" w:sz="4" w:space="0"/>
              <w:bottom w:val="single" w:color="auto" w:sz="4" w:space="0"/>
              <w:right w:val="single" w:color="auto" w:sz="4" w:space="0"/>
            </w:tcBorders>
          </w:tcPr>
          <w:p w14:paraId="0D051428">
            <w:pPr>
              <w:rPr>
                <w:sz w:val="28"/>
                <w:szCs w:val="28"/>
              </w:rPr>
            </w:pPr>
            <w:r>
              <w:rPr>
                <w:rFonts w:hint="eastAsia"/>
                <w:sz w:val="24"/>
                <w:szCs w:val="24"/>
              </w:rPr>
              <w:t>中国</w:t>
            </w:r>
          </w:p>
        </w:tc>
        <w:tc>
          <w:tcPr>
            <w:tcW w:w="1655" w:type="dxa"/>
            <w:tcBorders>
              <w:top w:val="single" w:color="auto" w:sz="4" w:space="0"/>
              <w:left w:val="single" w:color="auto" w:sz="4" w:space="0"/>
              <w:bottom w:val="single" w:color="auto" w:sz="4" w:space="0"/>
              <w:right w:val="single" w:color="auto" w:sz="4" w:space="0"/>
            </w:tcBorders>
          </w:tcPr>
          <w:p w14:paraId="16E2FCE7">
            <w:pPr>
              <w:rPr>
                <w:sz w:val="28"/>
                <w:szCs w:val="28"/>
              </w:rPr>
            </w:pPr>
            <w:r>
              <w:rPr>
                <w:sz w:val="24"/>
                <w:szCs w:val="24"/>
              </w:rPr>
              <w:t>ZL 2023 1 0358659.3</w:t>
            </w:r>
          </w:p>
        </w:tc>
        <w:tc>
          <w:tcPr>
            <w:tcW w:w="1213" w:type="dxa"/>
            <w:tcBorders>
              <w:top w:val="single" w:color="auto" w:sz="4" w:space="0"/>
              <w:left w:val="single" w:color="auto" w:sz="4" w:space="0"/>
              <w:bottom w:val="single" w:color="auto" w:sz="4" w:space="0"/>
              <w:right w:val="single" w:color="auto" w:sz="4" w:space="0"/>
            </w:tcBorders>
          </w:tcPr>
          <w:p w14:paraId="1D0CF081">
            <w:pPr>
              <w:rPr>
                <w:sz w:val="28"/>
                <w:szCs w:val="28"/>
              </w:rPr>
            </w:pPr>
            <w:r>
              <w:rPr>
                <w:rFonts w:hint="eastAsia"/>
                <w:sz w:val="24"/>
                <w:szCs w:val="24"/>
              </w:rPr>
              <w:t>2024年01月26日</w:t>
            </w:r>
          </w:p>
        </w:tc>
        <w:tc>
          <w:tcPr>
            <w:tcW w:w="1213" w:type="dxa"/>
            <w:tcBorders>
              <w:top w:val="single" w:color="auto" w:sz="4" w:space="0"/>
              <w:left w:val="single" w:color="auto" w:sz="4" w:space="0"/>
              <w:bottom w:val="single" w:color="auto" w:sz="4" w:space="0"/>
              <w:right w:val="single" w:color="auto" w:sz="4" w:space="0"/>
            </w:tcBorders>
          </w:tcPr>
          <w:p w14:paraId="14733C63">
            <w:pPr>
              <w:rPr>
                <w:sz w:val="28"/>
                <w:szCs w:val="28"/>
              </w:rPr>
            </w:pPr>
            <w:r>
              <w:rPr>
                <w:rFonts w:hint="eastAsia"/>
                <w:sz w:val="24"/>
                <w:szCs w:val="24"/>
              </w:rPr>
              <w:t>6650207</w:t>
            </w:r>
          </w:p>
        </w:tc>
        <w:tc>
          <w:tcPr>
            <w:tcW w:w="1213" w:type="dxa"/>
            <w:tcBorders>
              <w:top w:val="single" w:color="auto" w:sz="4" w:space="0"/>
              <w:left w:val="single" w:color="auto" w:sz="4" w:space="0"/>
              <w:bottom w:val="single" w:color="auto" w:sz="4" w:space="0"/>
              <w:right w:val="single" w:color="auto" w:sz="4" w:space="0"/>
            </w:tcBorders>
          </w:tcPr>
          <w:p w14:paraId="23E06C4C">
            <w:pPr>
              <w:rPr>
                <w:sz w:val="28"/>
                <w:szCs w:val="28"/>
              </w:rPr>
            </w:pPr>
            <w:r>
              <w:rPr>
                <w:rFonts w:hint="eastAsia"/>
                <w:sz w:val="24"/>
                <w:szCs w:val="24"/>
              </w:rPr>
              <w:t>浙江大学</w:t>
            </w:r>
          </w:p>
        </w:tc>
        <w:tc>
          <w:tcPr>
            <w:tcW w:w="2215" w:type="dxa"/>
            <w:tcBorders>
              <w:top w:val="single" w:color="auto" w:sz="4" w:space="0"/>
              <w:left w:val="single" w:color="auto" w:sz="4" w:space="0"/>
              <w:bottom w:val="single" w:color="auto" w:sz="4" w:space="0"/>
              <w:right w:val="single" w:color="auto" w:sz="4" w:space="0"/>
            </w:tcBorders>
          </w:tcPr>
          <w:p w14:paraId="73A75A47">
            <w:pPr>
              <w:rPr>
                <w:sz w:val="28"/>
                <w:szCs w:val="28"/>
              </w:rPr>
            </w:pPr>
            <w:r>
              <w:rPr>
                <w:rFonts w:hint="eastAsia"/>
                <w:sz w:val="24"/>
                <w:szCs w:val="24"/>
              </w:rPr>
              <w:t>谭静怡、杨予萱、柯婷、余卓</w:t>
            </w:r>
          </w:p>
        </w:tc>
        <w:tc>
          <w:tcPr>
            <w:tcW w:w="2215" w:type="dxa"/>
            <w:tcBorders>
              <w:top w:val="single" w:color="auto" w:sz="4" w:space="0"/>
              <w:left w:val="single" w:color="auto" w:sz="4" w:space="0"/>
              <w:bottom w:val="single" w:color="auto" w:sz="4" w:space="0"/>
              <w:right w:val="single" w:color="auto" w:sz="4" w:space="0"/>
            </w:tcBorders>
          </w:tcPr>
          <w:p w14:paraId="763F383F">
            <w:pPr>
              <w:rPr>
                <w:sz w:val="28"/>
                <w:szCs w:val="28"/>
              </w:rPr>
            </w:pPr>
            <w:r>
              <w:rPr>
                <w:rFonts w:hint="eastAsia"/>
                <w:sz w:val="24"/>
                <w:szCs w:val="24"/>
              </w:rPr>
              <w:t>有效</w:t>
            </w:r>
          </w:p>
        </w:tc>
      </w:tr>
      <w:tr w14:paraId="095D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120DE51">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4FD74CF">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A77098E">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43B67D0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AE84E4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D103C4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2E66ADC">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C9E2A5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ACA9908">
            <w:pPr>
              <w:rPr>
                <w:sz w:val="28"/>
                <w:szCs w:val="28"/>
              </w:rPr>
            </w:pPr>
          </w:p>
        </w:tc>
      </w:tr>
      <w:tr w14:paraId="56DF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8076E93">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0029E748">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29A5B85">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6B5D72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90BF99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B72EA72">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2991A6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4696354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B870BE4">
            <w:pPr>
              <w:rPr>
                <w:sz w:val="28"/>
                <w:szCs w:val="28"/>
              </w:rPr>
            </w:pPr>
          </w:p>
        </w:tc>
      </w:tr>
      <w:tr w14:paraId="6054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342C1A3">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30B8241">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3B90AAA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7EF23C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C3D619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9D5A9D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4E13169">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E316B9A">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8F9C059">
            <w:pPr>
              <w:rPr>
                <w:sz w:val="28"/>
                <w:szCs w:val="28"/>
              </w:rPr>
            </w:pPr>
          </w:p>
        </w:tc>
      </w:tr>
      <w:tr w14:paraId="71AA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37511D7">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2D3A41DE">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2EFDB68B">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650C49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393BE3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5F5DFA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492248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590D3A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014310B">
            <w:pPr>
              <w:rPr>
                <w:sz w:val="28"/>
                <w:szCs w:val="28"/>
              </w:rPr>
            </w:pPr>
          </w:p>
        </w:tc>
      </w:tr>
    </w:tbl>
    <w:p w14:paraId="2892961F">
      <w:pPr>
        <w:rPr>
          <w:rFonts w:eastAsia="黑体"/>
          <w:sz w:val="32"/>
          <w:szCs w:val="32"/>
        </w:rPr>
      </w:pPr>
    </w:p>
    <w:p w14:paraId="1A95E739">
      <w:pPr>
        <w:rPr>
          <w:rFonts w:eastAsia="黑体"/>
          <w:sz w:val="32"/>
          <w:szCs w:val="32"/>
        </w:rPr>
      </w:pPr>
    </w:p>
    <w:p w14:paraId="03D445E2">
      <w:pPr>
        <w:rPr>
          <w:rFonts w:eastAsia="黑体"/>
          <w:sz w:val="32"/>
          <w:szCs w:val="32"/>
        </w:rPr>
      </w:pPr>
    </w:p>
    <w:p w14:paraId="5141BD76">
      <w:pPr>
        <w:spacing w:beforeAutospacing="1" w:afterAutospacing="1"/>
        <w:rPr>
          <w:rFonts w:eastAsia="黑体"/>
          <w:kern w:val="0"/>
          <w:sz w:val="32"/>
          <w:szCs w:val="32"/>
        </w:rPr>
        <w:sectPr>
          <w:pgSz w:w="15842" w:h="12242" w:orient="landscape"/>
          <w:pgMar w:top="1418" w:right="1247" w:bottom="1134" w:left="1247" w:header="851" w:footer="794" w:gutter="0"/>
          <w:cols w:space="720" w:num="1"/>
          <w:docGrid w:linePitch="286" w:charSpace="0"/>
        </w:sectPr>
      </w:pPr>
    </w:p>
    <w:p w14:paraId="1A3A01E7">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5C469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3E67BF2E">
            <w:pPr>
              <w:jc w:val="center"/>
              <w:rPr>
                <w:rFonts w:eastAsia="仿宋_GB2312"/>
                <w:sz w:val="24"/>
              </w:rPr>
            </w:pPr>
            <w:r>
              <w:rPr>
                <w:rFonts w:eastAsia="仿宋_GB2312"/>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2D1E18E6">
            <w:pPr>
              <w:jc w:val="center"/>
              <w:rPr>
                <w:rFonts w:eastAsia="仿宋_GB2312"/>
                <w:sz w:val="24"/>
              </w:rPr>
            </w:pPr>
            <w:r>
              <w:rPr>
                <w:rFonts w:eastAsia="仿宋_GB2312"/>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6ADEECB">
            <w:pPr>
              <w:jc w:val="center"/>
              <w:rPr>
                <w:rFonts w:eastAsia="仿宋_GB2312"/>
                <w:sz w:val="24"/>
              </w:rPr>
            </w:pPr>
            <w:r>
              <w:rPr>
                <w:rFonts w:eastAsia="仿宋_GB2312"/>
                <w:sz w:val="24"/>
              </w:rPr>
              <w:t>年卷</w:t>
            </w:r>
          </w:p>
          <w:p w14:paraId="09AEC747">
            <w:pPr>
              <w:jc w:val="center"/>
              <w:rPr>
                <w:rFonts w:eastAsia="仿宋_GB2312"/>
                <w:szCs w:val="21"/>
              </w:rPr>
            </w:pPr>
            <w:r>
              <w:rPr>
                <w:rFonts w:eastAsia="仿宋_GB2312"/>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11FA711">
            <w:pPr>
              <w:jc w:val="center"/>
              <w:rPr>
                <w:rFonts w:eastAsia="仿宋_GB2312"/>
                <w:sz w:val="24"/>
              </w:rPr>
            </w:pPr>
            <w:r>
              <w:rPr>
                <w:rFonts w:eastAsia="仿宋_GB2312"/>
                <w:sz w:val="24"/>
              </w:rPr>
              <w:t>发表</w:t>
            </w:r>
          </w:p>
          <w:p w14:paraId="0658FA77">
            <w:pPr>
              <w:jc w:val="center"/>
              <w:rPr>
                <w:rFonts w:eastAsia="仿宋_GB2312"/>
                <w:sz w:val="24"/>
              </w:rPr>
            </w:pPr>
            <w:r>
              <w:rPr>
                <w:rFonts w:eastAsia="仿宋_GB2312"/>
                <w:sz w:val="24"/>
              </w:rPr>
              <w:t>时间</w:t>
            </w:r>
          </w:p>
          <w:p w14:paraId="1E8D5F0E">
            <w:pPr>
              <w:jc w:val="center"/>
              <w:rPr>
                <w:rFonts w:eastAsia="仿宋_GB2312"/>
                <w:sz w:val="24"/>
              </w:rPr>
            </w:pPr>
            <w:r>
              <w:rPr>
                <w:rFonts w:eastAsia="仿宋_GB2312"/>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0845BED">
            <w:pPr>
              <w:jc w:val="center"/>
              <w:rPr>
                <w:rFonts w:eastAsia="仿宋_GB2312"/>
                <w:sz w:val="24"/>
              </w:rPr>
            </w:pPr>
            <w:r>
              <w:rPr>
                <w:rFonts w:eastAsia="仿宋_GB2312"/>
                <w:sz w:val="24"/>
              </w:rPr>
              <w:t>他引</w:t>
            </w:r>
          </w:p>
          <w:p w14:paraId="60C763A5">
            <w:pPr>
              <w:jc w:val="center"/>
              <w:rPr>
                <w:rFonts w:eastAsia="仿宋_GB2312"/>
                <w:sz w:val="24"/>
              </w:rPr>
            </w:pPr>
            <w:r>
              <w:rPr>
                <w:rFonts w:eastAsia="仿宋_GB2312"/>
                <w:sz w:val="24"/>
              </w:rPr>
              <w:t>总次数</w:t>
            </w:r>
          </w:p>
        </w:tc>
      </w:tr>
      <w:tr w14:paraId="4F98D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0"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ACAFADF">
            <w:pPr>
              <w:spacing w:line="240" w:lineRule="auto"/>
              <w:rPr>
                <w:szCs w:val="21"/>
              </w:rPr>
            </w:pPr>
            <w:r>
              <w:rPr>
                <w:rFonts w:hint="eastAsia"/>
                <w:sz w:val="18"/>
                <w:szCs w:val="18"/>
              </w:rPr>
              <w:t>Wei Y, Wang Z, Han J, Jiang X, Lei L, Yang X, Sun W, Gou Z, Chen L</w:t>
            </w:r>
          </w:p>
        </w:tc>
        <w:tc>
          <w:tcPr>
            <w:tcW w:w="3571" w:type="dxa"/>
            <w:tcBorders>
              <w:top w:val="single" w:color="auto" w:sz="6" w:space="0"/>
              <w:left w:val="single" w:color="auto" w:sz="6" w:space="0"/>
              <w:bottom w:val="single" w:color="auto" w:sz="6" w:space="0"/>
              <w:right w:val="single" w:color="auto" w:sz="6" w:space="0"/>
            </w:tcBorders>
            <w:vAlign w:val="center"/>
          </w:tcPr>
          <w:p w14:paraId="78070324">
            <w:pPr>
              <w:spacing w:line="240" w:lineRule="auto"/>
              <w:rPr>
                <w:szCs w:val="21"/>
              </w:rPr>
            </w:pPr>
            <w:r>
              <w:rPr>
                <w:sz w:val="18"/>
                <w:szCs w:val="18"/>
              </w:rPr>
              <w:t>Modularized bioceramic scaffold/hydrogel membrane hierarchical architecture beneficial for periodontal tissue regeneration in dogs. Biomater Res</w:t>
            </w:r>
          </w:p>
        </w:tc>
        <w:tc>
          <w:tcPr>
            <w:tcW w:w="963" w:type="dxa"/>
            <w:tcBorders>
              <w:top w:val="single" w:color="auto" w:sz="6" w:space="0"/>
              <w:left w:val="single" w:color="auto" w:sz="6" w:space="0"/>
              <w:bottom w:val="single" w:color="auto" w:sz="6" w:space="0"/>
              <w:right w:val="single" w:color="auto" w:sz="6" w:space="0"/>
            </w:tcBorders>
            <w:vAlign w:val="center"/>
          </w:tcPr>
          <w:p w14:paraId="40107CE1">
            <w:pPr>
              <w:spacing w:line="240" w:lineRule="auto"/>
              <w:rPr>
                <w:szCs w:val="21"/>
              </w:rPr>
            </w:pPr>
            <w:r>
              <w:rPr>
                <w:rFonts w:hint="eastAsia"/>
                <w:sz w:val="18"/>
                <w:szCs w:val="18"/>
              </w:rPr>
              <w:t>2022; 26(1):68.</w:t>
            </w:r>
          </w:p>
        </w:tc>
        <w:tc>
          <w:tcPr>
            <w:tcW w:w="993" w:type="dxa"/>
            <w:tcBorders>
              <w:top w:val="single" w:color="auto" w:sz="6" w:space="0"/>
              <w:left w:val="single" w:color="auto" w:sz="6" w:space="0"/>
              <w:bottom w:val="single" w:color="auto" w:sz="6" w:space="0"/>
              <w:right w:val="single" w:color="auto" w:sz="6" w:space="0"/>
            </w:tcBorders>
            <w:vAlign w:val="center"/>
          </w:tcPr>
          <w:p w14:paraId="5393A6DE">
            <w:pPr>
              <w:spacing w:line="240" w:lineRule="auto"/>
              <w:rPr>
                <w:sz w:val="24"/>
              </w:rPr>
            </w:pPr>
            <w:r>
              <w:rPr>
                <w:rFonts w:hint="eastAsia"/>
                <w:sz w:val="18"/>
                <w:szCs w:val="18"/>
              </w:rPr>
              <w:t>2022</w:t>
            </w:r>
          </w:p>
        </w:tc>
        <w:tc>
          <w:tcPr>
            <w:tcW w:w="850" w:type="dxa"/>
            <w:tcBorders>
              <w:top w:val="single" w:color="auto" w:sz="6" w:space="0"/>
              <w:left w:val="single" w:color="auto" w:sz="6" w:space="0"/>
              <w:bottom w:val="single" w:color="auto" w:sz="6" w:space="0"/>
              <w:right w:val="single" w:color="auto" w:sz="6" w:space="0"/>
            </w:tcBorders>
            <w:vAlign w:val="center"/>
          </w:tcPr>
          <w:p w14:paraId="62757866">
            <w:pPr>
              <w:spacing w:line="240" w:lineRule="auto"/>
              <w:rPr>
                <w:sz w:val="24"/>
              </w:rPr>
            </w:pPr>
            <w:r>
              <w:rPr>
                <w:rFonts w:hint="eastAsia"/>
                <w:sz w:val="18"/>
                <w:szCs w:val="18"/>
              </w:rPr>
              <w:t>21</w:t>
            </w:r>
          </w:p>
        </w:tc>
      </w:tr>
      <w:tr w14:paraId="0C490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51DC8A3">
            <w:pPr>
              <w:spacing w:line="240" w:lineRule="auto"/>
              <w:rPr>
                <w:szCs w:val="21"/>
              </w:rPr>
            </w:pPr>
            <w:r>
              <w:rPr>
                <w:sz w:val="18"/>
                <w:szCs w:val="18"/>
              </w:rPr>
              <w:t>Bao J, Wang Z, Yang Y, Yu X, Yuan W, Sun W, Chen L</w:t>
            </w:r>
          </w:p>
        </w:tc>
        <w:tc>
          <w:tcPr>
            <w:tcW w:w="3571" w:type="dxa"/>
            <w:tcBorders>
              <w:top w:val="single" w:color="auto" w:sz="6" w:space="0"/>
              <w:left w:val="single" w:color="auto" w:sz="6" w:space="0"/>
              <w:bottom w:val="single" w:color="auto" w:sz="6" w:space="0"/>
              <w:right w:val="single" w:color="auto" w:sz="6" w:space="0"/>
            </w:tcBorders>
            <w:vAlign w:val="center"/>
          </w:tcPr>
          <w:p w14:paraId="52A6D248">
            <w:pPr>
              <w:spacing w:line="240" w:lineRule="auto"/>
              <w:rPr>
                <w:szCs w:val="21"/>
              </w:rPr>
            </w:pPr>
            <w:r>
              <w:rPr>
                <w:sz w:val="18"/>
                <w:szCs w:val="18"/>
              </w:rPr>
              <w:t>Interleukin-17 alleviates erastin-induced alveolar bone loss by suppressing ferroptosis via interaction between NRF2 and p-STAT3. J Clin Periodontol.</w:t>
            </w:r>
          </w:p>
        </w:tc>
        <w:tc>
          <w:tcPr>
            <w:tcW w:w="963" w:type="dxa"/>
            <w:tcBorders>
              <w:top w:val="single" w:color="auto" w:sz="6" w:space="0"/>
              <w:left w:val="single" w:color="auto" w:sz="6" w:space="0"/>
              <w:bottom w:val="single" w:color="auto" w:sz="6" w:space="0"/>
              <w:right w:val="single" w:color="auto" w:sz="6" w:space="0"/>
            </w:tcBorders>
            <w:vAlign w:val="center"/>
          </w:tcPr>
          <w:p w14:paraId="64DDEF6B">
            <w:pPr>
              <w:spacing w:line="240" w:lineRule="auto"/>
              <w:rPr>
                <w:szCs w:val="21"/>
              </w:rPr>
            </w:pPr>
            <w:r>
              <w:rPr>
                <w:sz w:val="18"/>
                <w:szCs w:val="18"/>
              </w:rPr>
              <w:t>2024;</w:t>
            </w:r>
            <w:r>
              <w:rPr>
                <w:rFonts w:hint="eastAsia"/>
                <w:sz w:val="18"/>
                <w:szCs w:val="18"/>
              </w:rPr>
              <w:t xml:space="preserve"> </w:t>
            </w:r>
            <w:r>
              <w:rPr>
                <w:sz w:val="18"/>
                <w:szCs w:val="18"/>
              </w:rPr>
              <w:t>51(2):233-250.</w:t>
            </w:r>
          </w:p>
        </w:tc>
        <w:tc>
          <w:tcPr>
            <w:tcW w:w="993" w:type="dxa"/>
            <w:tcBorders>
              <w:top w:val="single" w:color="auto" w:sz="6" w:space="0"/>
              <w:left w:val="single" w:color="auto" w:sz="6" w:space="0"/>
              <w:bottom w:val="single" w:color="auto" w:sz="6" w:space="0"/>
              <w:right w:val="single" w:color="auto" w:sz="6" w:space="0"/>
            </w:tcBorders>
            <w:vAlign w:val="center"/>
          </w:tcPr>
          <w:p w14:paraId="3136BEDA">
            <w:pPr>
              <w:spacing w:line="240" w:lineRule="auto"/>
              <w:rPr>
                <w:szCs w:val="21"/>
              </w:rPr>
            </w:pPr>
            <w:r>
              <w:rPr>
                <w:rFonts w:hint="eastAsia"/>
                <w:sz w:val="18"/>
                <w:szCs w:val="18"/>
              </w:rPr>
              <w:t>2024</w:t>
            </w:r>
          </w:p>
        </w:tc>
        <w:tc>
          <w:tcPr>
            <w:tcW w:w="850" w:type="dxa"/>
            <w:tcBorders>
              <w:top w:val="single" w:color="auto" w:sz="6" w:space="0"/>
              <w:left w:val="single" w:color="auto" w:sz="6" w:space="0"/>
              <w:bottom w:val="single" w:color="auto" w:sz="6" w:space="0"/>
              <w:right w:val="single" w:color="auto" w:sz="6" w:space="0"/>
            </w:tcBorders>
            <w:vAlign w:val="center"/>
          </w:tcPr>
          <w:p w14:paraId="1C448904">
            <w:pPr>
              <w:spacing w:line="240" w:lineRule="auto"/>
              <w:rPr>
                <w:szCs w:val="21"/>
              </w:rPr>
            </w:pPr>
            <w:r>
              <w:rPr>
                <w:rFonts w:hint="eastAsia"/>
                <w:sz w:val="18"/>
                <w:szCs w:val="18"/>
              </w:rPr>
              <w:t>20</w:t>
            </w:r>
          </w:p>
        </w:tc>
      </w:tr>
      <w:tr w14:paraId="5D501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699530E4">
            <w:pPr>
              <w:spacing w:line="240" w:lineRule="auto"/>
              <w:rPr>
                <w:szCs w:val="21"/>
              </w:rPr>
            </w:pPr>
            <w:r>
              <w:rPr>
                <w:sz w:val="18"/>
                <w:szCs w:val="18"/>
              </w:rPr>
              <w:t>Wei Y, Wang Z, Lei L, Han J, Zhong S, Yang X, Gou Z, Chen L</w:t>
            </w:r>
          </w:p>
        </w:tc>
        <w:tc>
          <w:tcPr>
            <w:tcW w:w="3571" w:type="dxa"/>
            <w:tcBorders>
              <w:top w:val="single" w:color="auto" w:sz="6" w:space="0"/>
              <w:left w:val="single" w:color="auto" w:sz="6" w:space="0"/>
              <w:bottom w:val="single" w:color="auto" w:sz="6" w:space="0"/>
              <w:right w:val="single" w:color="auto" w:sz="6" w:space="0"/>
            </w:tcBorders>
            <w:vAlign w:val="center"/>
          </w:tcPr>
          <w:p w14:paraId="1B81854E">
            <w:pPr>
              <w:spacing w:line="240" w:lineRule="auto"/>
              <w:rPr>
                <w:szCs w:val="21"/>
              </w:rPr>
            </w:pPr>
            <w:r>
              <w:rPr>
                <w:sz w:val="18"/>
                <w:szCs w:val="18"/>
              </w:rPr>
              <w:t>Appreciable biosafety, biocompatibility and osteogenic capability of 3D printed nonstoichiometric wollastonite scaffolds favorable for clinical translation. J Orthop Translat</w:t>
            </w:r>
          </w:p>
        </w:tc>
        <w:tc>
          <w:tcPr>
            <w:tcW w:w="963" w:type="dxa"/>
            <w:tcBorders>
              <w:top w:val="single" w:color="auto" w:sz="6" w:space="0"/>
              <w:left w:val="single" w:color="auto" w:sz="6" w:space="0"/>
              <w:bottom w:val="single" w:color="auto" w:sz="6" w:space="0"/>
              <w:right w:val="single" w:color="auto" w:sz="6" w:space="0"/>
            </w:tcBorders>
            <w:vAlign w:val="center"/>
          </w:tcPr>
          <w:p w14:paraId="52E3B915">
            <w:pPr>
              <w:spacing w:line="240" w:lineRule="auto"/>
              <w:rPr>
                <w:szCs w:val="21"/>
              </w:rPr>
            </w:pPr>
            <w:r>
              <w:rPr>
                <w:sz w:val="18"/>
                <w:szCs w:val="18"/>
              </w:rPr>
              <w:t>2024</w:t>
            </w:r>
            <w:r>
              <w:rPr>
                <w:rFonts w:hint="eastAsia"/>
                <w:sz w:val="18"/>
                <w:szCs w:val="18"/>
              </w:rPr>
              <w:t xml:space="preserve">; </w:t>
            </w:r>
            <w:r>
              <w:rPr>
                <w:sz w:val="18"/>
                <w:szCs w:val="18"/>
              </w:rPr>
              <w:t>45:88-99.</w:t>
            </w:r>
          </w:p>
        </w:tc>
        <w:tc>
          <w:tcPr>
            <w:tcW w:w="993" w:type="dxa"/>
            <w:tcBorders>
              <w:top w:val="single" w:color="auto" w:sz="6" w:space="0"/>
              <w:left w:val="single" w:color="auto" w:sz="6" w:space="0"/>
              <w:bottom w:val="single" w:color="auto" w:sz="6" w:space="0"/>
              <w:right w:val="single" w:color="auto" w:sz="6" w:space="0"/>
            </w:tcBorders>
            <w:vAlign w:val="center"/>
          </w:tcPr>
          <w:p w14:paraId="054039DE">
            <w:pPr>
              <w:spacing w:line="240" w:lineRule="auto"/>
              <w:rPr>
                <w:szCs w:val="21"/>
              </w:rPr>
            </w:pPr>
            <w:r>
              <w:rPr>
                <w:rFonts w:hint="eastAsia"/>
                <w:sz w:val="18"/>
                <w:szCs w:val="18"/>
              </w:rPr>
              <w:t>2024</w:t>
            </w:r>
          </w:p>
        </w:tc>
        <w:tc>
          <w:tcPr>
            <w:tcW w:w="850" w:type="dxa"/>
            <w:tcBorders>
              <w:top w:val="single" w:color="auto" w:sz="6" w:space="0"/>
              <w:left w:val="single" w:color="auto" w:sz="6" w:space="0"/>
              <w:bottom w:val="single" w:color="auto" w:sz="6" w:space="0"/>
              <w:right w:val="single" w:color="auto" w:sz="6" w:space="0"/>
            </w:tcBorders>
            <w:vAlign w:val="center"/>
          </w:tcPr>
          <w:p w14:paraId="0BF8A7F5">
            <w:pPr>
              <w:spacing w:line="240" w:lineRule="auto"/>
              <w:rPr>
                <w:szCs w:val="21"/>
              </w:rPr>
            </w:pPr>
            <w:r>
              <w:rPr>
                <w:rFonts w:hint="eastAsia"/>
                <w:sz w:val="18"/>
                <w:szCs w:val="18"/>
              </w:rPr>
              <w:t>10</w:t>
            </w:r>
          </w:p>
        </w:tc>
      </w:tr>
      <w:tr w14:paraId="0789A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65CA908B">
            <w:pPr>
              <w:spacing w:line="240" w:lineRule="auto"/>
              <w:rPr>
                <w:szCs w:val="21"/>
              </w:rPr>
            </w:pPr>
            <w:r>
              <w:rPr>
                <w:sz w:val="18"/>
                <w:szCs w:val="18"/>
              </w:rPr>
              <w:t>Zhang C, Pan L, Zhang H, Ke T, Yang Y, Zhang L, Chen L, Tan J</w:t>
            </w:r>
          </w:p>
        </w:tc>
        <w:tc>
          <w:tcPr>
            <w:tcW w:w="3571" w:type="dxa"/>
            <w:tcBorders>
              <w:top w:val="single" w:color="auto" w:sz="6" w:space="0"/>
              <w:left w:val="single" w:color="auto" w:sz="6" w:space="0"/>
              <w:bottom w:val="single" w:color="auto" w:sz="6" w:space="0"/>
              <w:right w:val="single" w:color="auto" w:sz="6" w:space="0"/>
            </w:tcBorders>
            <w:vAlign w:val="center"/>
          </w:tcPr>
          <w:p w14:paraId="2717FF3C">
            <w:pPr>
              <w:spacing w:line="240" w:lineRule="auto"/>
              <w:rPr>
                <w:szCs w:val="21"/>
              </w:rPr>
            </w:pPr>
            <w:r>
              <w:rPr>
                <w:sz w:val="18"/>
                <w:szCs w:val="18"/>
              </w:rPr>
              <w:t>Osteoblasts-Derived Exosomal lncRNA-MALAT1 Promotes Osteoclastogenesis by Targeting the miR-124/NFATc1 Signaling Axis in Bone Marrow-Derived Macrophages. Int J Nanomedicine</w:t>
            </w:r>
          </w:p>
        </w:tc>
        <w:tc>
          <w:tcPr>
            <w:tcW w:w="963" w:type="dxa"/>
            <w:tcBorders>
              <w:top w:val="single" w:color="auto" w:sz="6" w:space="0"/>
              <w:left w:val="single" w:color="auto" w:sz="6" w:space="0"/>
              <w:bottom w:val="single" w:color="auto" w:sz="6" w:space="0"/>
              <w:right w:val="single" w:color="auto" w:sz="6" w:space="0"/>
            </w:tcBorders>
            <w:vAlign w:val="center"/>
          </w:tcPr>
          <w:p w14:paraId="5EA7795C">
            <w:pPr>
              <w:spacing w:line="240" w:lineRule="auto"/>
              <w:rPr>
                <w:szCs w:val="21"/>
              </w:rPr>
            </w:pPr>
            <w:r>
              <w:rPr>
                <w:sz w:val="18"/>
                <w:szCs w:val="18"/>
              </w:rPr>
              <w:t>2023</w:t>
            </w:r>
            <w:r>
              <w:rPr>
                <w:rFonts w:hint="eastAsia"/>
                <w:sz w:val="18"/>
                <w:szCs w:val="18"/>
              </w:rPr>
              <w:t xml:space="preserve">; </w:t>
            </w:r>
            <w:r>
              <w:rPr>
                <w:sz w:val="18"/>
                <w:szCs w:val="18"/>
              </w:rPr>
              <w:t>18:781-795.</w:t>
            </w:r>
          </w:p>
        </w:tc>
        <w:tc>
          <w:tcPr>
            <w:tcW w:w="993" w:type="dxa"/>
            <w:tcBorders>
              <w:top w:val="single" w:color="auto" w:sz="6" w:space="0"/>
              <w:left w:val="single" w:color="auto" w:sz="6" w:space="0"/>
              <w:bottom w:val="single" w:color="auto" w:sz="6" w:space="0"/>
              <w:right w:val="single" w:color="auto" w:sz="6" w:space="0"/>
            </w:tcBorders>
            <w:vAlign w:val="center"/>
          </w:tcPr>
          <w:p w14:paraId="59E7B315">
            <w:pPr>
              <w:spacing w:line="240" w:lineRule="auto"/>
              <w:rPr>
                <w:szCs w:val="21"/>
              </w:rPr>
            </w:pPr>
            <w:r>
              <w:rPr>
                <w:rFonts w:hint="eastAsia"/>
                <w:sz w:val="18"/>
                <w:szCs w:val="18"/>
              </w:rPr>
              <w:t>2023</w:t>
            </w:r>
          </w:p>
        </w:tc>
        <w:tc>
          <w:tcPr>
            <w:tcW w:w="850" w:type="dxa"/>
            <w:tcBorders>
              <w:top w:val="single" w:color="auto" w:sz="6" w:space="0"/>
              <w:left w:val="single" w:color="auto" w:sz="6" w:space="0"/>
              <w:bottom w:val="single" w:color="auto" w:sz="6" w:space="0"/>
              <w:right w:val="single" w:color="auto" w:sz="6" w:space="0"/>
            </w:tcBorders>
            <w:vAlign w:val="center"/>
          </w:tcPr>
          <w:p w14:paraId="28CE25B7">
            <w:pPr>
              <w:spacing w:line="240" w:lineRule="auto"/>
              <w:rPr>
                <w:szCs w:val="21"/>
              </w:rPr>
            </w:pPr>
            <w:r>
              <w:rPr>
                <w:rFonts w:hint="eastAsia"/>
                <w:sz w:val="18"/>
                <w:szCs w:val="18"/>
              </w:rPr>
              <w:t>17</w:t>
            </w:r>
          </w:p>
        </w:tc>
      </w:tr>
      <w:tr w14:paraId="7F614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4698B580">
            <w:pPr>
              <w:spacing w:line="240" w:lineRule="auto"/>
              <w:rPr>
                <w:szCs w:val="21"/>
              </w:rPr>
            </w:pPr>
            <w:r>
              <w:rPr>
                <w:sz w:val="18"/>
                <w:szCs w:val="18"/>
              </w:rPr>
              <w:t>Lei L, Yu Y, Han J, Shi D, Sun W, Zhang D, Chen L</w:t>
            </w:r>
          </w:p>
        </w:tc>
        <w:tc>
          <w:tcPr>
            <w:tcW w:w="3571" w:type="dxa"/>
            <w:tcBorders>
              <w:top w:val="single" w:color="auto" w:sz="6" w:space="0"/>
              <w:left w:val="single" w:color="auto" w:sz="6" w:space="0"/>
              <w:bottom w:val="single" w:color="auto" w:sz="6" w:space="0"/>
              <w:right w:val="single" w:color="auto" w:sz="6" w:space="0"/>
            </w:tcBorders>
            <w:vAlign w:val="center"/>
          </w:tcPr>
          <w:p w14:paraId="6B77C07F">
            <w:pPr>
              <w:spacing w:line="240" w:lineRule="auto"/>
              <w:rPr>
                <w:szCs w:val="21"/>
              </w:rPr>
            </w:pPr>
            <w:r>
              <w:rPr>
                <w:sz w:val="18"/>
                <w:szCs w:val="18"/>
              </w:rPr>
              <w:t>Quantification of growth factors in advanced platelet-rich fibrin and concentrated growth factors and their clinical efficacy as adjunctive to the GTR procedure in periodontal intrabony defects.</w:t>
            </w:r>
            <w:r>
              <w:t xml:space="preserve"> </w:t>
            </w:r>
            <w:r>
              <w:rPr>
                <w:sz w:val="18"/>
                <w:szCs w:val="18"/>
              </w:rPr>
              <w:t>J Periodontol</w:t>
            </w:r>
          </w:p>
        </w:tc>
        <w:tc>
          <w:tcPr>
            <w:tcW w:w="963" w:type="dxa"/>
            <w:tcBorders>
              <w:top w:val="single" w:color="auto" w:sz="6" w:space="0"/>
              <w:left w:val="single" w:color="auto" w:sz="6" w:space="0"/>
              <w:bottom w:val="single" w:color="auto" w:sz="6" w:space="0"/>
              <w:right w:val="single" w:color="auto" w:sz="6" w:space="0"/>
            </w:tcBorders>
            <w:vAlign w:val="center"/>
          </w:tcPr>
          <w:p w14:paraId="6C20AF89">
            <w:pPr>
              <w:spacing w:line="240" w:lineRule="auto"/>
              <w:rPr>
                <w:szCs w:val="21"/>
              </w:rPr>
            </w:pPr>
            <w:r>
              <w:rPr>
                <w:sz w:val="18"/>
                <w:szCs w:val="18"/>
              </w:rPr>
              <w:t>2020;</w:t>
            </w:r>
            <w:r>
              <w:rPr>
                <w:rFonts w:hint="eastAsia"/>
                <w:sz w:val="18"/>
                <w:szCs w:val="18"/>
              </w:rPr>
              <w:t xml:space="preserve"> </w:t>
            </w:r>
            <w:r>
              <w:rPr>
                <w:sz w:val="18"/>
                <w:szCs w:val="18"/>
              </w:rPr>
              <w:t>91(4):462-472.</w:t>
            </w:r>
          </w:p>
        </w:tc>
        <w:tc>
          <w:tcPr>
            <w:tcW w:w="993" w:type="dxa"/>
            <w:tcBorders>
              <w:top w:val="single" w:color="auto" w:sz="6" w:space="0"/>
              <w:left w:val="single" w:color="auto" w:sz="6" w:space="0"/>
              <w:bottom w:val="single" w:color="auto" w:sz="6" w:space="0"/>
              <w:right w:val="single" w:color="auto" w:sz="6" w:space="0"/>
            </w:tcBorders>
            <w:vAlign w:val="center"/>
          </w:tcPr>
          <w:p w14:paraId="3CFB0E16">
            <w:pPr>
              <w:spacing w:line="240" w:lineRule="auto"/>
              <w:rPr>
                <w:szCs w:val="21"/>
              </w:rPr>
            </w:pPr>
            <w:r>
              <w:rPr>
                <w:rFonts w:hint="eastAsia"/>
                <w:sz w:val="18"/>
                <w:szCs w:val="18"/>
              </w:rPr>
              <w:t>2020</w:t>
            </w:r>
          </w:p>
        </w:tc>
        <w:tc>
          <w:tcPr>
            <w:tcW w:w="850" w:type="dxa"/>
            <w:tcBorders>
              <w:top w:val="single" w:color="auto" w:sz="6" w:space="0"/>
              <w:left w:val="single" w:color="auto" w:sz="6" w:space="0"/>
              <w:bottom w:val="single" w:color="auto" w:sz="6" w:space="0"/>
              <w:right w:val="single" w:color="auto" w:sz="6" w:space="0"/>
            </w:tcBorders>
            <w:vAlign w:val="center"/>
          </w:tcPr>
          <w:p w14:paraId="06582A74">
            <w:pPr>
              <w:spacing w:line="240" w:lineRule="auto"/>
              <w:rPr>
                <w:szCs w:val="21"/>
              </w:rPr>
            </w:pPr>
            <w:r>
              <w:rPr>
                <w:rFonts w:hint="eastAsia"/>
                <w:sz w:val="18"/>
                <w:szCs w:val="18"/>
              </w:rPr>
              <w:t>91</w:t>
            </w:r>
          </w:p>
        </w:tc>
      </w:tr>
      <w:tr w14:paraId="218FF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262D17A">
            <w:pPr>
              <w:spacing w:line="240" w:lineRule="auto"/>
              <w:rPr>
                <w:sz w:val="18"/>
                <w:szCs w:val="18"/>
              </w:rPr>
            </w:pPr>
            <w:r>
              <w:rPr>
                <w:sz w:val="18"/>
                <w:szCs w:val="18"/>
              </w:rPr>
              <w:t>Wang Z, Tan J, Lei L, Sun W, Wu Y, Ding P, Chen L.</w:t>
            </w:r>
          </w:p>
        </w:tc>
        <w:tc>
          <w:tcPr>
            <w:tcW w:w="3571" w:type="dxa"/>
            <w:tcBorders>
              <w:top w:val="single" w:color="auto" w:sz="6" w:space="0"/>
              <w:left w:val="single" w:color="auto" w:sz="6" w:space="0"/>
              <w:bottom w:val="single" w:color="auto" w:sz="6" w:space="0"/>
              <w:right w:val="single" w:color="auto" w:sz="6" w:space="0"/>
            </w:tcBorders>
            <w:vAlign w:val="center"/>
          </w:tcPr>
          <w:p w14:paraId="340B1FCB">
            <w:pPr>
              <w:spacing w:line="240" w:lineRule="auto"/>
              <w:rPr>
                <w:sz w:val="18"/>
                <w:szCs w:val="18"/>
              </w:rPr>
            </w:pPr>
            <w:r>
              <w:rPr>
                <w:sz w:val="18"/>
                <w:szCs w:val="18"/>
              </w:rPr>
              <w:t>The positive effects of secreting cytokines IL-17 and IFN-γ on the early-stage differentiation and negative effects on the calcification of primary osteoblasts in vitro. Int Immunopharmacol</w:t>
            </w:r>
          </w:p>
        </w:tc>
        <w:tc>
          <w:tcPr>
            <w:tcW w:w="963" w:type="dxa"/>
            <w:tcBorders>
              <w:top w:val="single" w:color="auto" w:sz="6" w:space="0"/>
              <w:left w:val="single" w:color="auto" w:sz="6" w:space="0"/>
              <w:bottom w:val="single" w:color="auto" w:sz="6" w:space="0"/>
              <w:right w:val="single" w:color="auto" w:sz="6" w:space="0"/>
            </w:tcBorders>
            <w:vAlign w:val="center"/>
          </w:tcPr>
          <w:p w14:paraId="29CF8CDC">
            <w:pPr>
              <w:spacing w:line="240" w:lineRule="auto"/>
              <w:rPr>
                <w:sz w:val="18"/>
                <w:szCs w:val="18"/>
              </w:rPr>
            </w:pPr>
            <w:r>
              <w:rPr>
                <w:sz w:val="18"/>
                <w:szCs w:val="18"/>
              </w:rPr>
              <w:t>2018;</w:t>
            </w:r>
            <w:r>
              <w:rPr>
                <w:rFonts w:hint="eastAsia"/>
                <w:sz w:val="18"/>
                <w:szCs w:val="18"/>
              </w:rPr>
              <w:t xml:space="preserve"> </w:t>
            </w:r>
            <w:r>
              <w:rPr>
                <w:sz w:val="18"/>
                <w:szCs w:val="18"/>
              </w:rPr>
              <w:t>57:1-10</w:t>
            </w:r>
          </w:p>
        </w:tc>
        <w:tc>
          <w:tcPr>
            <w:tcW w:w="993" w:type="dxa"/>
            <w:tcBorders>
              <w:top w:val="single" w:color="auto" w:sz="6" w:space="0"/>
              <w:left w:val="single" w:color="auto" w:sz="6" w:space="0"/>
              <w:bottom w:val="single" w:color="auto" w:sz="6" w:space="0"/>
              <w:right w:val="single" w:color="auto" w:sz="6" w:space="0"/>
            </w:tcBorders>
            <w:vAlign w:val="center"/>
          </w:tcPr>
          <w:p w14:paraId="1A5B8CCC">
            <w:pPr>
              <w:spacing w:line="240" w:lineRule="auto"/>
              <w:rPr>
                <w:sz w:val="18"/>
                <w:szCs w:val="18"/>
              </w:rPr>
            </w:pPr>
            <w:r>
              <w:rPr>
                <w:rFonts w:hint="eastAsia"/>
                <w:sz w:val="18"/>
                <w:szCs w:val="18"/>
              </w:rPr>
              <w:t>2018</w:t>
            </w:r>
          </w:p>
        </w:tc>
        <w:tc>
          <w:tcPr>
            <w:tcW w:w="850" w:type="dxa"/>
            <w:tcBorders>
              <w:top w:val="single" w:color="auto" w:sz="6" w:space="0"/>
              <w:left w:val="single" w:color="auto" w:sz="6" w:space="0"/>
              <w:bottom w:val="single" w:color="auto" w:sz="6" w:space="0"/>
              <w:right w:val="single" w:color="auto" w:sz="6" w:space="0"/>
            </w:tcBorders>
            <w:vAlign w:val="center"/>
          </w:tcPr>
          <w:p w14:paraId="45351C6A">
            <w:pPr>
              <w:spacing w:line="240" w:lineRule="auto"/>
              <w:rPr>
                <w:sz w:val="18"/>
                <w:szCs w:val="18"/>
              </w:rPr>
            </w:pPr>
            <w:r>
              <w:rPr>
                <w:rFonts w:hint="eastAsia"/>
                <w:sz w:val="18"/>
                <w:szCs w:val="18"/>
              </w:rPr>
              <w:t>36</w:t>
            </w:r>
          </w:p>
        </w:tc>
      </w:tr>
      <w:tr w14:paraId="026F9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4"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2A471F31">
            <w:pPr>
              <w:spacing w:line="240" w:lineRule="auto"/>
              <w:rPr>
                <w:sz w:val="18"/>
                <w:szCs w:val="18"/>
              </w:rPr>
            </w:pPr>
            <w:r>
              <w:rPr>
                <w:sz w:val="18"/>
                <w:szCs w:val="18"/>
              </w:rPr>
              <w:t>Wang Z, Lei L, Wei Y, Xu H, Chen L</w:t>
            </w:r>
          </w:p>
        </w:tc>
        <w:tc>
          <w:tcPr>
            <w:tcW w:w="3571" w:type="dxa"/>
            <w:tcBorders>
              <w:top w:val="single" w:color="auto" w:sz="6" w:space="0"/>
              <w:left w:val="single" w:color="auto" w:sz="6" w:space="0"/>
              <w:bottom w:val="single" w:color="auto" w:sz="6" w:space="0"/>
              <w:right w:val="single" w:color="auto" w:sz="6" w:space="0"/>
            </w:tcBorders>
            <w:vAlign w:val="center"/>
          </w:tcPr>
          <w:p w14:paraId="0584758B">
            <w:pPr>
              <w:spacing w:line="240" w:lineRule="auto"/>
              <w:rPr>
                <w:sz w:val="18"/>
                <w:szCs w:val="18"/>
              </w:rPr>
            </w:pPr>
            <w:r>
              <w:rPr>
                <w:sz w:val="18"/>
                <w:szCs w:val="18"/>
              </w:rPr>
              <w:t>Modified Roll Envelope Technique Combined With Apically Repositioned Flap (MRARF) for Peri-Implant Soft Tissue Augmentation-A Case Series. J Oral Implantol.</w:t>
            </w:r>
          </w:p>
        </w:tc>
        <w:tc>
          <w:tcPr>
            <w:tcW w:w="963" w:type="dxa"/>
            <w:tcBorders>
              <w:top w:val="single" w:color="auto" w:sz="6" w:space="0"/>
              <w:left w:val="single" w:color="auto" w:sz="6" w:space="0"/>
              <w:bottom w:val="single" w:color="auto" w:sz="6" w:space="0"/>
              <w:right w:val="single" w:color="auto" w:sz="6" w:space="0"/>
            </w:tcBorders>
            <w:vAlign w:val="center"/>
          </w:tcPr>
          <w:p w14:paraId="459E07B3">
            <w:pPr>
              <w:spacing w:line="240" w:lineRule="auto"/>
              <w:rPr>
                <w:sz w:val="18"/>
                <w:szCs w:val="18"/>
              </w:rPr>
            </w:pPr>
            <w:r>
              <w:rPr>
                <w:sz w:val="18"/>
                <w:szCs w:val="18"/>
              </w:rPr>
              <w:t>2024;</w:t>
            </w:r>
            <w:r>
              <w:rPr>
                <w:rFonts w:hint="eastAsia"/>
                <w:sz w:val="18"/>
                <w:szCs w:val="18"/>
              </w:rPr>
              <w:t xml:space="preserve"> </w:t>
            </w:r>
            <w:r>
              <w:rPr>
                <w:sz w:val="18"/>
                <w:szCs w:val="18"/>
              </w:rPr>
              <w:t>50(5):507-513.</w:t>
            </w:r>
          </w:p>
        </w:tc>
        <w:tc>
          <w:tcPr>
            <w:tcW w:w="993" w:type="dxa"/>
            <w:tcBorders>
              <w:top w:val="single" w:color="auto" w:sz="6" w:space="0"/>
              <w:left w:val="single" w:color="auto" w:sz="6" w:space="0"/>
              <w:bottom w:val="single" w:color="auto" w:sz="6" w:space="0"/>
              <w:right w:val="single" w:color="auto" w:sz="6" w:space="0"/>
            </w:tcBorders>
            <w:vAlign w:val="center"/>
          </w:tcPr>
          <w:p w14:paraId="5A9A2C53">
            <w:pPr>
              <w:spacing w:line="240" w:lineRule="auto"/>
              <w:rPr>
                <w:sz w:val="18"/>
                <w:szCs w:val="18"/>
              </w:rPr>
            </w:pPr>
            <w:r>
              <w:rPr>
                <w:rFonts w:hint="eastAsia"/>
                <w:sz w:val="18"/>
                <w:szCs w:val="18"/>
              </w:rPr>
              <w:t>2024</w:t>
            </w:r>
          </w:p>
        </w:tc>
        <w:tc>
          <w:tcPr>
            <w:tcW w:w="850" w:type="dxa"/>
            <w:tcBorders>
              <w:top w:val="single" w:color="auto" w:sz="6" w:space="0"/>
              <w:left w:val="single" w:color="auto" w:sz="6" w:space="0"/>
              <w:bottom w:val="single" w:color="auto" w:sz="6" w:space="0"/>
              <w:right w:val="single" w:color="auto" w:sz="6" w:space="0"/>
            </w:tcBorders>
            <w:vAlign w:val="center"/>
          </w:tcPr>
          <w:p w14:paraId="67A3653C">
            <w:pPr>
              <w:spacing w:line="240" w:lineRule="auto"/>
              <w:rPr>
                <w:sz w:val="18"/>
                <w:szCs w:val="18"/>
              </w:rPr>
            </w:pPr>
            <w:r>
              <w:rPr>
                <w:rFonts w:hint="eastAsia"/>
                <w:sz w:val="18"/>
                <w:szCs w:val="18"/>
              </w:rPr>
              <w:t>0</w:t>
            </w:r>
          </w:p>
        </w:tc>
      </w:tr>
      <w:tr w14:paraId="22FB2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EE783B7">
            <w:pPr>
              <w:spacing w:line="240" w:lineRule="auto"/>
              <w:rPr>
                <w:sz w:val="18"/>
                <w:szCs w:val="18"/>
              </w:rPr>
            </w:pPr>
            <w:r>
              <w:rPr>
                <w:sz w:val="18"/>
                <w:szCs w:val="18"/>
              </w:rPr>
              <w:t>Lei L, Yu Y, Ke T, Sun W, Chen L</w:t>
            </w:r>
          </w:p>
        </w:tc>
        <w:tc>
          <w:tcPr>
            <w:tcW w:w="3571" w:type="dxa"/>
            <w:tcBorders>
              <w:top w:val="single" w:color="auto" w:sz="6" w:space="0"/>
              <w:left w:val="single" w:color="auto" w:sz="6" w:space="0"/>
              <w:bottom w:val="single" w:color="auto" w:sz="6" w:space="0"/>
              <w:right w:val="single" w:color="auto" w:sz="6" w:space="0"/>
            </w:tcBorders>
            <w:vAlign w:val="center"/>
          </w:tcPr>
          <w:p w14:paraId="62B4AE1D">
            <w:pPr>
              <w:spacing w:line="240" w:lineRule="auto"/>
              <w:rPr>
                <w:sz w:val="18"/>
                <w:szCs w:val="18"/>
              </w:rPr>
            </w:pPr>
            <w:r>
              <w:rPr>
                <w:sz w:val="18"/>
                <w:szCs w:val="18"/>
              </w:rPr>
              <w:t>The Application of Three-Dimensional Printing Model and Platelet-Rich Fibrin Technology in Guided Tissue Regeneration Surgery for Severe Bone Defects. J Oral Implantol.</w:t>
            </w:r>
          </w:p>
        </w:tc>
        <w:tc>
          <w:tcPr>
            <w:tcW w:w="963" w:type="dxa"/>
            <w:tcBorders>
              <w:top w:val="single" w:color="auto" w:sz="6" w:space="0"/>
              <w:left w:val="single" w:color="auto" w:sz="6" w:space="0"/>
              <w:bottom w:val="single" w:color="auto" w:sz="6" w:space="0"/>
              <w:right w:val="single" w:color="auto" w:sz="6" w:space="0"/>
            </w:tcBorders>
            <w:vAlign w:val="center"/>
          </w:tcPr>
          <w:p w14:paraId="48888CF0">
            <w:pPr>
              <w:spacing w:line="240" w:lineRule="auto"/>
              <w:rPr>
                <w:sz w:val="18"/>
                <w:szCs w:val="18"/>
              </w:rPr>
            </w:pPr>
            <w:r>
              <w:rPr>
                <w:sz w:val="18"/>
                <w:szCs w:val="18"/>
              </w:rPr>
              <w:t>2019;</w:t>
            </w:r>
            <w:r>
              <w:rPr>
                <w:rFonts w:hint="eastAsia"/>
                <w:sz w:val="18"/>
                <w:szCs w:val="18"/>
              </w:rPr>
              <w:t xml:space="preserve"> </w:t>
            </w:r>
            <w:r>
              <w:rPr>
                <w:sz w:val="18"/>
                <w:szCs w:val="18"/>
              </w:rPr>
              <w:t>45(1):35-43.</w:t>
            </w:r>
          </w:p>
        </w:tc>
        <w:tc>
          <w:tcPr>
            <w:tcW w:w="993" w:type="dxa"/>
            <w:tcBorders>
              <w:top w:val="single" w:color="auto" w:sz="6" w:space="0"/>
              <w:left w:val="single" w:color="auto" w:sz="6" w:space="0"/>
              <w:bottom w:val="single" w:color="auto" w:sz="6" w:space="0"/>
              <w:right w:val="single" w:color="auto" w:sz="6" w:space="0"/>
            </w:tcBorders>
            <w:vAlign w:val="center"/>
          </w:tcPr>
          <w:p w14:paraId="3993BD70">
            <w:pPr>
              <w:spacing w:line="240" w:lineRule="auto"/>
              <w:rPr>
                <w:sz w:val="18"/>
                <w:szCs w:val="18"/>
              </w:rPr>
            </w:pPr>
            <w:r>
              <w:rPr>
                <w:rFonts w:hint="eastAsia"/>
                <w:sz w:val="18"/>
                <w:szCs w:val="18"/>
              </w:rPr>
              <w:t>2019</w:t>
            </w:r>
          </w:p>
        </w:tc>
        <w:tc>
          <w:tcPr>
            <w:tcW w:w="850" w:type="dxa"/>
            <w:tcBorders>
              <w:top w:val="single" w:color="auto" w:sz="6" w:space="0"/>
              <w:left w:val="single" w:color="auto" w:sz="6" w:space="0"/>
              <w:bottom w:val="single" w:color="auto" w:sz="6" w:space="0"/>
              <w:right w:val="single" w:color="auto" w:sz="6" w:space="0"/>
            </w:tcBorders>
            <w:vAlign w:val="center"/>
          </w:tcPr>
          <w:p w14:paraId="73D73AE4">
            <w:pPr>
              <w:spacing w:line="240" w:lineRule="auto"/>
              <w:rPr>
                <w:sz w:val="18"/>
                <w:szCs w:val="18"/>
              </w:rPr>
            </w:pPr>
            <w:r>
              <w:rPr>
                <w:rFonts w:hint="eastAsia"/>
                <w:sz w:val="18"/>
                <w:szCs w:val="18"/>
              </w:rPr>
              <w:t>45</w:t>
            </w:r>
          </w:p>
        </w:tc>
      </w:tr>
      <w:tr w14:paraId="6F618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184AB125">
            <w:pPr>
              <w:spacing w:line="240" w:lineRule="auto"/>
              <w:rPr>
                <w:szCs w:val="21"/>
              </w:rPr>
            </w:pPr>
            <w:r>
              <w:rPr>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047AA03A">
            <w:pPr>
              <w:spacing w:line="240" w:lineRule="auto"/>
              <w:rPr>
                <w:szCs w:val="21"/>
              </w:rPr>
            </w:pPr>
            <w:r>
              <w:rPr>
                <w:rFonts w:hint="eastAsia"/>
                <w:szCs w:val="21"/>
              </w:rPr>
              <w:t>240</w:t>
            </w:r>
          </w:p>
        </w:tc>
      </w:tr>
    </w:tbl>
    <w:p w14:paraId="0B37FFC2"/>
    <w:p w14:paraId="7E5B7623">
      <w:pPr>
        <w:spacing w:line="500" w:lineRule="exact"/>
        <w:ind w:firstLine="482" w:firstLineChars="200"/>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上述第七、八部分所列的知识产权、标准规范和论文专著等符合提名要求且无争议。以上知识产权、标准规范和论文专著用于提名202</w:t>
      </w:r>
      <w:r>
        <w:rPr>
          <w:rFonts w:hint="eastAsia" w:eastAsia="仿宋_GB2312"/>
          <w:bCs/>
          <w:sz w:val="24"/>
          <w:szCs w:val="24"/>
        </w:rPr>
        <w:t>4</w:t>
      </w:r>
      <w:r>
        <w:rPr>
          <w:rFonts w:eastAsia="仿宋_GB2312"/>
          <w:bCs/>
          <w:sz w:val="24"/>
          <w:szCs w:val="24"/>
        </w:rPr>
        <w:t>年度省科学技术进步奖的情况，已征得未列入成果完成单位或完成人的发明人、权利人、作者的同意，有关知情证明材料均存档备查。</w:t>
      </w:r>
    </w:p>
    <w:p w14:paraId="15D0138E">
      <w:pPr>
        <w:ind w:firstLine="480" w:firstLineChars="200"/>
        <w:rPr>
          <w:rFonts w:eastAsia="仿宋_GB2312"/>
          <w:sz w:val="24"/>
        </w:rPr>
      </w:pPr>
      <w:r>
        <w:rPr>
          <w:rFonts w:eastAsia="仿宋_GB2312"/>
          <w:sz w:val="24"/>
        </w:rPr>
        <w:t xml:space="preserve">                                        第一完成人签字：</w:t>
      </w:r>
    </w:p>
    <w:p w14:paraId="3A45F310">
      <w:pPr>
        <w:adjustRightInd w:val="0"/>
        <w:snapToGrid w:val="0"/>
        <w:spacing w:line="560" w:lineRule="exact"/>
        <w:rPr>
          <w:rFonts w:eastAsia="仿宋_GB2312"/>
          <w:sz w:val="32"/>
          <w:szCs w:val="32"/>
        </w:rPr>
      </w:pPr>
    </w:p>
    <w:sectPr>
      <w:headerReference r:id="rId7" w:type="first"/>
      <w:headerReference r:id="rId5" w:type="default"/>
      <w:footerReference r:id="rId8" w:type="default"/>
      <w:headerReference r:id="rId6" w:type="even"/>
      <w:pgSz w:w="11906" w:h="16838"/>
      <w:pgMar w:top="1440" w:right="1800" w:bottom="1440" w:left="1800"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D13E81-749A-4E0D-9A15-ECA90E1D46E9}"/>
  </w:font>
  <w:font w:name="Arial">
    <w:panose1 w:val="020B0604020202020204"/>
    <w:charset w:val="01"/>
    <w:family w:val="swiss"/>
    <w:pitch w:val="default"/>
    <w:sig w:usb0="E0002EFF" w:usb1="C000785B" w:usb2="00000009" w:usb3="00000000" w:csb0="400001FF" w:csb1="FFFF0000"/>
    <w:embedRegular r:id="rId2" w:fontKey="{8DA97A76-78CF-475D-B1A9-C0478CD619AB}"/>
  </w:font>
  <w:font w:name="黑体">
    <w:panose1 w:val="02010609060101010101"/>
    <w:charset w:val="86"/>
    <w:family w:val="auto"/>
    <w:pitch w:val="default"/>
    <w:sig w:usb0="800002BF" w:usb1="38CF7CFA" w:usb2="00000016" w:usb3="00000000" w:csb0="00040001" w:csb1="00000000"/>
    <w:embedRegular r:id="rId3" w:fontKey="{A8194706-81A0-49C9-9A01-55307E3CCDB2}"/>
  </w:font>
  <w:font w:name="Courier New">
    <w:panose1 w:val="02070309020205020404"/>
    <w:charset w:val="01"/>
    <w:family w:val="modern"/>
    <w:pitch w:val="default"/>
    <w:sig w:usb0="E0002EFF" w:usb1="C0007843" w:usb2="00000009" w:usb3="00000000" w:csb0="400001FF" w:csb1="FFFF0000"/>
    <w:embedRegular r:id="rId4" w:fontKey="{66AB8043-9FF7-43BE-ACCF-FFFC5BB604AC}"/>
  </w:font>
  <w:font w:name="Symbol">
    <w:panose1 w:val="05050102010706020507"/>
    <w:charset w:val="02"/>
    <w:family w:val="roman"/>
    <w:pitch w:val="default"/>
    <w:sig w:usb0="00000000" w:usb1="00000000" w:usb2="00000000" w:usb3="00000000" w:csb0="80000000" w:csb1="00000000"/>
    <w:embedRegular r:id="rId5" w:fontKey="{842F5163-471A-44DB-9757-0D8FD488F12C}"/>
  </w:font>
  <w:font w:name="Calibri">
    <w:panose1 w:val="020F0502020204030204"/>
    <w:charset w:val="00"/>
    <w:family w:val="swiss"/>
    <w:pitch w:val="default"/>
    <w:sig w:usb0="E4002EFF" w:usb1="C000247B" w:usb2="00000009" w:usb3="00000000" w:csb0="200001FF" w:csb1="00000000"/>
    <w:embedRegular r:id="rId6" w:fontKey="{2345B02F-A4FA-4AB5-9665-DE44486C5BA2}"/>
  </w:font>
  <w:font w:name="Cambria">
    <w:panose1 w:val="02040503050406030204"/>
    <w:charset w:val="00"/>
    <w:family w:val="roman"/>
    <w:pitch w:val="default"/>
    <w:sig w:usb0="E00006FF" w:usb1="420024FF" w:usb2="02000000" w:usb3="00000000" w:csb0="2000019F" w:csb1="00000000"/>
    <w:embedRegular r:id="rId7" w:fontKey="{C3876C2D-42D7-4D96-9C49-9F65646A875C}"/>
  </w:font>
  <w:font w:name="仿宋_GB2312">
    <w:panose1 w:val="02010609030101010101"/>
    <w:charset w:val="86"/>
    <w:family w:val="modern"/>
    <w:pitch w:val="default"/>
    <w:sig w:usb0="00000001" w:usb1="080E0000" w:usb2="00000000" w:usb3="00000000" w:csb0="00040000" w:csb1="00000000"/>
    <w:embedRegular r:id="rId8" w:fontKey="{C6DDA14E-DA6F-4827-8A51-450A19F91EBC}"/>
  </w:font>
  <w:font w:name="方正仿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embedRegular r:id="rId9" w:fontKey="{1B6B8D05-1ED6-4689-9C27-4248C7E90B73}"/>
  </w:font>
  <w:font w:name="仿宋">
    <w:panose1 w:val="02010609060101010101"/>
    <w:charset w:val="86"/>
    <w:family w:val="modern"/>
    <w:pitch w:val="default"/>
    <w:sig w:usb0="800002BF" w:usb1="38CF7CFA" w:usb2="00000016" w:usb3="00000000" w:csb0="00040001" w:csb1="00000000"/>
    <w:embedRegular r:id="rId10" w:fontKey="{387E1534-6E25-43BC-842D-2C37AFFA742B}"/>
  </w:font>
  <w:font w:name="楷体">
    <w:panose1 w:val="02010609060101010101"/>
    <w:charset w:val="86"/>
    <w:family w:val="modern"/>
    <w:pitch w:val="default"/>
    <w:sig w:usb0="800002BF" w:usb1="38CF7CFA" w:usb2="00000016" w:usb3="00000000" w:csb0="00040001" w:csb1="00000000"/>
    <w:embedRegular r:id="rId11" w:fontKey="{0AC06DE4-A91B-486A-8290-39085A57727A}"/>
  </w:font>
  <w:font w:name="方正黑体简体">
    <w:panose1 w:val="02000000000000000000"/>
    <w:charset w:val="86"/>
    <w:family w:val="auto"/>
    <w:pitch w:val="default"/>
    <w:sig w:usb0="A00002BF" w:usb1="184F6CFA" w:usb2="00000012" w:usb3="00000000" w:csb0="00040001" w:csb1="00000000"/>
    <w:embedRegular r:id="rId12" w:fontKey="{E48B1D2D-65FC-4F41-B398-CB8EEF9FC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B22BDE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AFD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A290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F4DE">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AA2EF0"/>
    <w:multiLevelType w:val="multilevel"/>
    <w:tmpl w:val="16AA2EF0"/>
    <w:lvl w:ilvl="0" w:tentative="0">
      <w:start w:val="1"/>
      <w:numFmt w:val="japaneseCounting"/>
      <w:lvlText w:val="%1、"/>
      <w:lvlJc w:val="left"/>
      <w:pPr>
        <w:ind w:left="480" w:hanging="4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50133B30"/>
    <w:multiLevelType w:val="multilevel"/>
    <w:tmpl w:val="50133B30"/>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2753A"/>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06304"/>
    <w:rsid w:val="00110262"/>
    <w:rsid w:val="00116906"/>
    <w:rsid w:val="00117599"/>
    <w:rsid w:val="0012430D"/>
    <w:rsid w:val="001435CC"/>
    <w:rsid w:val="00153E23"/>
    <w:rsid w:val="00154376"/>
    <w:rsid w:val="001553CE"/>
    <w:rsid w:val="001614FC"/>
    <w:rsid w:val="0016168D"/>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2557F"/>
    <w:rsid w:val="00230FE9"/>
    <w:rsid w:val="0023223F"/>
    <w:rsid w:val="00244749"/>
    <w:rsid w:val="00247A49"/>
    <w:rsid w:val="00251808"/>
    <w:rsid w:val="002579D1"/>
    <w:rsid w:val="002725BA"/>
    <w:rsid w:val="002745F8"/>
    <w:rsid w:val="00280A42"/>
    <w:rsid w:val="00281B39"/>
    <w:rsid w:val="00283031"/>
    <w:rsid w:val="002868E8"/>
    <w:rsid w:val="0029509E"/>
    <w:rsid w:val="00296134"/>
    <w:rsid w:val="002A2925"/>
    <w:rsid w:val="002A7955"/>
    <w:rsid w:val="002B3198"/>
    <w:rsid w:val="002C335E"/>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40C7"/>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34AEB"/>
    <w:rsid w:val="00442705"/>
    <w:rsid w:val="00444A55"/>
    <w:rsid w:val="0044700B"/>
    <w:rsid w:val="0044760A"/>
    <w:rsid w:val="00453528"/>
    <w:rsid w:val="00453C0E"/>
    <w:rsid w:val="00461A90"/>
    <w:rsid w:val="00461F96"/>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7EA"/>
    <w:rsid w:val="00526964"/>
    <w:rsid w:val="00532D5A"/>
    <w:rsid w:val="005354E4"/>
    <w:rsid w:val="00535F14"/>
    <w:rsid w:val="00552729"/>
    <w:rsid w:val="005563CE"/>
    <w:rsid w:val="005663D6"/>
    <w:rsid w:val="00570701"/>
    <w:rsid w:val="0057414B"/>
    <w:rsid w:val="0057576E"/>
    <w:rsid w:val="0058367D"/>
    <w:rsid w:val="00586D66"/>
    <w:rsid w:val="0059269B"/>
    <w:rsid w:val="00595A3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546AC"/>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05021"/>
    <w:rsid w:val="00813788"/>
    <w:rsid w:val="0082227E"/>
    <w:rsid w:val="00822B10"/>
    <w:rsid w:val="00823F06"/>
    <w:rsid w:val="00832862"/>
    <w:rsid w:val="00832F6E"/>
    <w:rsid w:val="00832F80"/>
    <w:rsid w:val="00833452"/>
    <w:rsid w:val="00834B21"/>
    <w:rsid w:val="00834CE8"/>
    <w:rsid w:val="0083551E"/>
    <w:rsid w:val="00845A89"/>
    <w:rsid w:val="00845F36"/>
    <w:rsid w:val="008527A7"/>
    <w:rsid w:val="00853603"/>
    <w:rsid w:val="008550E7"/>
    <w:rsid w:val="00856D92"/>
    <w:rsid w:val="00866267"/>
    <w:rsid w:val="008666C1"/>
    <w:rsid w:val="00866773"/>
    <w:rsid w:val="008706BC"/>
    <w:rsid w:val="00872CCF"/>
    <w:rsid w:val="008907FE"/>
    <w:rsid w:val="00890A44"/>
    <w:rsid w:val="00891DDA"/>
    <w:rsid w:val="00894724"/>
    <w:rsid w:val="008A09D1"/>
    <w:rsid w:val="008A37FE"/>
    <w:rsid w:val="008B5F0B"/>
    <w:rsid w:val="008B78AD"/>
    <w:rsid w:val="008C37F3"/>
    <w:rsid w:val="008C5BE5"/>
    <w:rsid w:val="008C7FED"/>
    <w:rsid w:val="008D2326"/>
    <w:rsid w:val="0090595F"/>
    <w:rsid w:val="0090670A"/>
    <w:rsid w:val="00906781"/>
    <w:rsid w:val="00911330"/>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6C9"/>
    <w:rsid w:val="00A27943"/>
    <w:rsid w:val="00A31D43"/>
    <w:rsid w:val="00A36061"/>
    <w:rsid w:val="00A402C6"/>
    <w:rsid w:val="00A40431"/>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16F96"/>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A21F2"/>
    <w:rsid w:val="00CB7617"/>
    <w:rsid w:val="00CC2CF9"/>
    <w:rsid w:val="00CC55CE"/>
    <w:rsid w:val="00CD3458"/>
    <w:rsid w:val="00CE7048"/>
    <w:rsid w:val="00CF0ED4"/>
    <w:rsid w:val="00CF10A0"/>
    <w:rsid w:val="00D0210C"/>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E5AF2"/>
    <w:rsid w:val="00DF02D4"/>
    <w:rsid w:val="00DF2AD8"/>
    <w:rsid w:val="00DF7FCB"/>
    <w:rsid w:val="00E066BD"/>
    <w:rsid w:val="00E1736F"/>
    <w:rsid w:val="00E17FF5"/>
    <w:rsid w:val="00E26009"/>
    <w:rsid w:val="00E30968"/>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0946"/>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27697"/>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49F18FD"/>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 w:type="paragraph" w:customStyle="1" w:styleId="39">
    <w:name w:val="Table Text"/>
    <w:basedOn w:val="1"/>
    <w:semiHidden/>
    <w:qFormat/>
    <w:uiPriority w:val="0"/>
    <w:pPr>
      <w:widowControl/>
      <w:kinsoku w:val="0"/>
      <w:autoSpaceDE w:val="0"/>
      <w:autoSpaceDN w:val="0"/>
      <w:adjustRightInd w:val="0"/>
      <w:snapToGrid w:val="0"/>
      <w:spacing w:after="0" w:line="240" w:lineRule="auto"/>
      <w:jc w:val="left"/>
      <w:textAlignment w:val="baseline"/>
    </w:pPr>
    <w:rPr>
      <w:rFonts w:ascii="宋体" w:hAnsi="宋体" w:cs="宋体"/>
      <w:snapToGrid w:val="0"/>
      <w:color w:val="000000"/>
      <w:kern w:val="0"/>
      <w:sz w:val="30"/>
      <w:szCs w:val="30"/>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1757</Words>
  <Characters>3191</Characters>
  <Lines>208</Lines>
  <Paragraphs>118</Paragraphs>
  <TotalTime>74</TotalTime>
  <ScaleCrop>false</ScaleCrop>
  <LinksUpToDate>false</LinksUpToDate>
  <CharactersWithSpaces>3516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2025-09-10T13:48:00Z</dcterms:created>
  <dc:creator>胡胜链</dc:creator>
  <cp:lastModifiedBy>葛格</cp:lastModifiedBy>
  <cp:lastPrinted>2022-01-28T09:53:00Z</cp:lastPrinted>
  <dcterms:modified xsi:type="dcterms:W3CDTF">2025-09-16T01:24:18Z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B079E00CAE9B4C77AC8FC20A54B46EFC_13</vt:lpwstr>
  </property>
  <property fmtid="{D5CDD505-2E9C-101B-9397-08002B2CF9AE}" pid="4" name="KSOTemplateDocerSaveRecord">
    <vt:lpwstr>eyJoZGlkIjoiZTllYjc3MGRiNzI1MDY1NDgwNjBjYzEyMDk3NjZlNGEiLCJ1c2VySWQiOiI3OTg2NTM2NTgifQ==</vt:lpwstr>
  </property>
</Properties>
</file>