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6507C6">
      <w:pPr>
        <w:jc w:val="center"/>
        <w:rPr>
          <w:rFonts w:eastAsia="仿宋_GB2312"/>
          <w:sz w:val="24"/>
          <w:szCs w:val="32"/>
        </w:rPr>
      </w:pPr>
      <w:bookmarkStart w:id="0" w:name="_GoBack"/>
      <w:bookmarkEnd w:id="0"/>
    </w:p>
    <w:p w14:paraId="5EC2DE0C">
      <w:pPr>
        <w:jc w:val="center"/>
        <w:rPr>
          <w:rStyle w:val="36"/>
          <w:rFonts w:eastAsia="微软雅黑"/>
          <w:bCs w:val="0"/>
          <w:color w:val="auto"/>
          <w:sz w:val="36"/>
          <w:szCs w:val="36"/>
        </w:rPr>
      </w:pPr>
      <w:r>
        <w:rPr>
          <w:rStyle w:val="36"/>
          <w:rFonts w:eastAsia="微软雅黑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5489C77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提名奖项：自然科学奖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3B7F2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5F88612C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3D89F7E5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hint="eastAsia" w:ascii="Calibri" w:hAnsi="Calibri" w:eastAsia="仿宋_GB2312" w:cs="Calibri"/>
                <w:b w:val="0"/>
                <w:color w:val="auto"/>
                <w:sz w:val="28"/>
              </w:rPr>
              <w:t>水稻诱导抗虫性机理及应用基础研究</w:t>
            </w:r>
          </w:p>
        </w:tc>
      </w:tr>
      <w:tr w14:paraId="4E0E4A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69" w:type="dxa"/>
            <w:vAlign w:val="center"/>
          </w:tcPr>
          <w:p w14:paraId="69CCD6C2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26C9CE0B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 w:val="28"/>
              </w:rPr>
              <w:t>一等奖</w:t>
            </w:r>
          </w:p>
        </w:tc>
      </w:tr>
      <w:tr w14:paraId="163B0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</w:trPr>
        <w:tc>
          <w:tcPr>
            <w:tcW w:w="2269" w:type="dxa"/>
            <w:vAlign w:val="center"/>
          </w:tcPr>
          <w:p w14:paraId="63A30E0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53481FEE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31CAE7D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见附件。</w:t>
            </w:r>
          </w:p>
        </w:tc>
      </w:tr>
      <w:tr w14:paraId="67704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C144469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71E054DC">
            <w:p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娄永根，排名1，教授，浙江大学；</w:t>
            </w:r>
          </w:p>
          <w:p w14:paraId="4BD7BA8B">
            <w:p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芦海平，排名2，特聘研究员，浙江大学；</w:t>
            </w:r>
          </w:p>
          <w:p w14:paraId="2473D19C">
            <w:p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萧玉涛，排名3，研究员，崖州湾国家实验室；</w:t>
            </w:r>
          </w:p>
          <w:p w14:paraId="69448598">
            <w:p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王弯弯，排名4，副教授，泰州学院；</w:t>
            </w:r>
          </w:p>
          <w:p w14:paraId="21EF2E46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吕静，排名5，副教授，浙江大学</w:t>
            </w:r>
          </w:p>
        </w:tc>
      </w:tr>
      <w:tr w14:paraId="1321BB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4E3D1F5D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14077F16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</w:p>
        </w:tc>
      </w:tr>
      <w:tr w14:paraId="1F843B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2269" w:type="dxa"/>
            <w:vAlign w:val="center"/>
          </w:tcPr>
          <w:p w14:paraId="0DBA4527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03CD084E">
            <w:pPr>
              <w:contextualSpacing/>
              <w:jc w:val="center"/>
              <w:rPr>
                <w:rStyle w:val="36"/>
                <w:b w:val="0"/>
                <w:color w:val="auto"/>
              </w:rPr>
            </w:pPr>
            <w:r>
              <w:rPr>
                <w:rStyle w:val="36"/>
                <w:rFonts w:hint="eastAsia" w:ascii="Calibri" w:hAnsi="Calibri" w:eastAsia="仿宋_GB2312" w:cs="Calibri"/>
                <w:b w:val="0"/>
                <w:color w:val="auto"/>
                <w:sz w:val="28"/>
                <w:szCs w:val="28"/>
              </w:rPr>
              <w:t>浙江大学</w:t>
            </w:r>
          </w:p>
        </w:tc>
      </w:tr>
      <w:tr w14:paraId="0943EC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2647D45E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5E30631E">
            <w:pPr>
              <w:spacing w:line="440" w:lineRule="exact"/>
              <w:ind w:firstLine="480" w:firstLineChars="20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本项目以水稻及其主要害虫稻飞虱、二螟虫等为研究对象，系统研究了水稻诱导抗虫性的化学与分子机理，取得了系列原创新研究成果，不仅深入揭示了水稻诱导抗虫性的化学基础及其分子调控机理，而且揭示了水稻诱导抗虫性在防控害虫中的潜力与前景，为水稻害虫绿色防控技术的开发提供了坚实的理论与应用基础。</w:t>
            </w:r>
          </w:p>
          <w:p w14:paraId="2ADB0328">
            <w:pPr>
              <w:spacing w:line="440" w:lineRule="exact"/>
              <w:ind w:firstLine="480" w:firstLineChars="200"/>
              <w:rPr>
                <w:rStyle w:val="36"/>
                <w:b w:val="0"/>
                <w:color w:val="auto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项目8篇代表作发表在Nature Plants、PNAS、Ecology Letters、Molecular Plant等国际权威学术刊物上，授权国家发明专利5项。研究成果受到国内外同行的广泛关注，被Annual Review of Plant Biology、Annual Reviewer of Entomology、PNAS、Nature Genetics、Ecology letters、Science China Life Sciences、植物学报等国内外刊物广泛引用，并给予高度评价。</w:t>
            </w:r>
          </w:p>
        </w:tc>
      </w:tr>
    </w:tbl>
    <w:p w14:paraId="1F9722A4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E1E7983">
      <w:pPr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六、代表性论文专著目录（不超过8篇）</w:t>
      </w:r>
    </w:p>
    <w:tbl>
      <w:tblPr>
        <w:tblStyle w:val="16"/>
        <w:tblW w:w="1414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4001"/>
        <w:gridCol w:w="1925"/>
        <w:gridCol w:w="1160"/>
        <w:gridCol w:w="957"/>
        <w:gridCol w:w="852"/>
        <w:gridCol w:w="2882"/>
        <w:gridCol w:w="808"/>
        <w:gridCol w:w="921"/>
      </w:tblGrid>
      <w:tr w14:paraId="13EC14E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63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06441A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序号</w:t>
            </w:r>
          </w:p>
        </w:tc>
        <w:tc>
          <w:tcPr>
            <w:tcW w:w="4001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660F0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论文专著名称/刊名</w:t>
            </w:r>
          </w:p>
        </w:tc>
        <w:tc>
          <w:tcPr>
            <w:tcW w:w="1925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58CFE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年卷页码（xx年xx卷xx页）</w:t>
            </w:r>
          </w:p>
        </w:tc>
        <w:tc>
          <w:tcPr>
            <w:tcW w:w="116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20947A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发表</w:t>
            </w:r>
          </w:p>
          <w:p w14:paraId="1168A4E5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时间</w:t>
            </w:r>
          </w:p>
          <w:p w14:paraId="719931A1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（年、月）</w:t>
            </w:r>
          </w:p>
        </w:tc>
        <w:tc>
          <w:tcPr>
            <w:tcW w:w="957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51B314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通讯</w:t>
            </w:r>
          </w:p>
          <w:p w14:paraId="479A37C4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作者</w:t>
            </w:r>
          </w:p>
        </w:tc>
        <w:tc>
          <w:tcPr>
            <w:tcW w:w="852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6B8E34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第一</w:t>
            </w:r>
          </w:p>
          <w:p w14:paraId="1A20D4D0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作者</w:t>
            </w:r>
          </w:p>
        </w:tc>
        <w:tc>
          <w:tcPr>
            <w:tcW w:w="2882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4EDE8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所有作者（按排序）</w:t>
            </w:r>
          </w:p>
        </w:tc>
        <w:tc>
          <w:tcPr>
            <w:tcW w:w="808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78844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他引</w:t>
            </w:r>
          </w:p>
          <w:p w14:paraId="374EF3CE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总次数</w:t>
            </w:r>
          </w:p>
        </w:tc>
        <w:tc>
          <w:tcPr>
            <w:tcW w:w="921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E84B80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检索数据库</w:t>
            </w:r>
          </w:p>
        </w:tc>
      </w:tr>
      <w:tr w14:paraId="268BBC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3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007610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1</w:t>
            </w:r>
          </w:p>
        </w:tc>
        <w:tc>
          <w:tcPr>
            <w:tcW w:w="4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AB0D7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Resistance of rice to insect pests mediated by suppression of serotonin biosynthesis/Nature Plants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DD780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2018, 4 (6):338-344</w:t>
            </w:r>
          </w:p>
        </w:tc>
        <w:tc>
          <w:tcPr>
            <w:tcW w:w="1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AD2C44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2018-07</w:t>
            </w:r>
          </w:p>
        </w:tc>
        <w:tc>
          <w:tcPr>
            <w:tcW w:w="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56437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娄永根</w:t>
            </w:r>
            <w:r>
              <w:rPr>
                <w:rFonts w:eastAsia="微软雅黑"/>
                <w:color w:val="000000"/>
                <w:szCs w:val="21"/>
              </w:rPr>
              <w:br w:type="textWrapping"/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舒庆尧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E9060E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芦海平</w:t>
            </w:r>
          </w:p>
        </w:tc>
        <w:tc>
          <w:tcPr>
            <w:tcW w:w="2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5275E1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Lu, Haiping; Luo, Ting; Fu, Haowei; Wang, Long;Tan, Yuanyuan; Huang, Jianzhong; Wang, Qing; Ye, Gongyin; Gatehouse, Angharad; Lou, Yonggen; Shu, Qingyao</w:t>
            </w:r>
          </w:p>
        </w:tc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396C3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159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4E6F9D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SCI</w:t>
            </w:r>
          </w:p>
        </w:tc>
      </w:tr>
      <w:tr w14:paraId="69BD69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3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7ADF68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</w:t>
            </w:r>
          </w:p>
        </w:tc>
        <w:tc>
          <w:tcPr>
            <w:tcW w:w="4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1ABF60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Specific herbivore-induced volatiles defend plants and determine insect community composition in the field/Ecology Letters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252FA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2012, 15 (10):1130-1139</w:t>
            </w:r>
          </w:p>
        </w:tc>
        <w:tc>
          <w:tcPr>
            <w:tcW w:w="1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396B3C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2012-10</w:t>
            </w:r>
          </w:p>
        </w:tc>
        <w:tc>
          <w:tcPr>
            <w:tcW w:w="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E00439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娄永根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41846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萧玉涛</w:t>
            </w:r>
          </w:p>
        </w:tc>
        <w:tc>
          <w:tcPr>
            <w:tcW w:w="2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03887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Xiao, Yutao; Wang, Qi; Erb, Matthias; Turlings, Ted; Ge, Linquan; Hu, Lingfei; Li, Jiancai; Han, Xiu; Zhang, Tongfang; Lu, Jing; Zhang, Guren; Lou, Yonggen</w:t>
            </w:r>
          </w:p>
        </w:tc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566E1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162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828A2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SCI</w:t>
            </w:r>
          </w:p>
        </w:tc>
      </w:tr>
      <w:tr w14:paraId="27B3AC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272CC7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3</w:t>
            </w:r>
          </w:p>
        </w:tc>
        <w:tc>
          <w:tcPr>
            <w:tcW w:w="4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E62F0">
            <w:pPr>
              <w:widowControl/>
              <w:jc w:val="left"/>
              <w:textAlignment w:val="center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kern w:val="0"/>
                <w:szCs w:val="21"/>
                <w:lang w:bidi="ar"/>
              </w:rPr>
              <w:t>Induction of defense in cereals by 4-fluorophenoxyacetic acid suppresses insect pest populations and increases crop yields in the field/PNAS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C9BAEC">
            <w:pPr>
              <w:widowControl/>
              <w:jc w:val="left"/>
              <w:textAlignment w:val="center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kern w:val="0"/>
                <w:szCs w:val="21"/>
                <w:lang w:bidi="ar"/>
              </w:rPr>
              <w:t>2020, 117 (22):12017-12028</w:t>
            </w:r>
          </w:p>
        </w:tc>
        <w:tc>
          <w:tcPr>
            <w:tcW w:w="1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95BED1">
            <w:pPr>
              <w:widowControl/>
              <w:jc w:val="left"/>
              <w:textAlignment w:val="center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kern w:val="0"/>
                <w:szCs w:val="21"/>
                <w:lang w:bidi="ar"/>
              </w:rPr>
              <w:t>2020-06</w:t>
            </w:r>
          </w:p>
        </w:tc>
        <w:tc>
          <w:tcPr>
            <w:tcW w:w="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5F557">
            <w:pPr>
              <w:widowControl/>
              <w:jc w:val="left"/>
              <w:textAlignment w:val="center"/>
              <w:rPr>
                <w:rFonts w:eastAsia="仿宋_GB2312"/>
                <w:szCs w:val="21"/>
              </w:rPr>
            </w:pPr>
            <w:r>
              <w:rPr>
                <w:rStyle w:val="38"/>
                <w:sz w:val="21"/>
                <w:szCs w:val="21"/>
                <w:lang w:bidi="ar"/>
              </w:rPr>
              <w:t>娄永根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74C2B8">
            <w:pPr>
              <w:widowControl/>
              <w:jc w:val="left"/>
              <w:textAlignment w:val="center"/>
              <w:rPr>
                <w:rFonts w:eastAsia="仿宋_GB2312"/>
                <w:szCs w:val="21"/>
              </w:rPr>
            </w:pPr>
            <w:r>
              <w:rPr>
                <w:rStyle w:val="38"/>
                <w:sz w:val="21"/>
                <w:szCs w:val="21"/>
                <w:lang w:bidi="ar"/>
              </w:rPr>
              <w:t>王弯弯</w:t>
            </w:r>
          </w:p>
        </w:tc>
        <w:tc>
          <w:tcPr>
            <w:tcW w:w="2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069DE6">
            <w:pPr>
              <w:widowControl/>
              <w:jc w:val="left"/>
              <w:textAlignment w:val="center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kern w:val="0"/>
                <w:szCs w:val="21"/>
                <w:lang w:bidi="ar"/>
              </w:rPr>
              <w:t>Wang, Wanwan; Zhou, Pengyong; Mo, Xiaochang; Hu, Lingfei; Jin, Nuo; Chen, Xia; Yu, Zhuoxian; Meng, Jinpeng; Erb, Matthias; Shang, Zhicai; Gatehouse, Angharad; Wu, Jun; Lou, Yonggen</w:t>
            </w:r>
          </w:p>
        </w:tc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2392C">
            <w:pPr>
              <w:widowControl/>
              <w:jc w:val="left"/>
              <w:textAlignment w:val="center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B17E65">
            <w:pPr>
              <w:widowControl/>
              <w:jc w:val="left"/>
              <w:textAlignment w:val="center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kern w:val="0"/>
                <w:szCs w:val="21"/>
                <w:lang w:bidi="ar"/>
              </w:rPr>
              <w:t>SCI</w:t>
            </w:r>
          </w:p>
        </w:tc>
      </w:tr>
      <w:tr w14:paraId="73027F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519534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4</w:t>
            </w:r>
          </w:p>
        </w:tc>
        <w:tc>
          <w:tcPr>
            <w:tcW w:w="4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DA2EF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An EAR-motif-containing ERF transcription factor affects herbivore-induced signaling, defense and resistance in rice/Plant Journal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423268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2011, 68(4):583-596</w:t>
            </w:r>
          </w:p>
        </w:tc>
        <w:tc>
          <w:tcPr>
            <w:tcW w:w="1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DBA2B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2011-11</w:t>
            </w:r>
          </w:p>
        </w:tc>
        <w:tc>
          <w:tcPr>
            <w:tcW w:w="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4E4BA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娄永根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1ED26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吕静</w:t>
            </w:r>
          </w:p>
        </w:tc>
        <w:tc>
          <w:tcPr>
            <w:tcW w:w="2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2AB95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Lu, Jing; Ju, Hongping; Zhou, Guoxin; Zhu, Chuanshu; Erb, Matthias; Wang, Xiaopeng; Wang, Peng; Lou, Yonggen</w:t>
            </w:r>
          </w:p>
        </w:tc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7273C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139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9ABC01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SCI</w:t>
            </w:r>
          </w:p>
        </w:tc>
      </w:tr>
      <w:tr w14:paraId="189F60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DE3962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5</w:t>
            </w:r>
          </w:p>
        </w:tc>
        <w:tc>
          <w:tcPr>
            <w:tcW w:w="4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366962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Contrasting effects of ethylene biosynthesis on induced plant resistance against a chewing and a piercing-sucking herbivore in rice/Molecular Plant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74DB7C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2014, 7 (11):1670-1682</w:t>
            </w:r>
          </w:p>
        </w:tc>
        <w:tc>
          <w:tcPr>
            <w:tcW w:w="1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AD4EC5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2014-11</w:t>
            </w:r>
          </w:p>
        </w:tc>
        <w:tc>
          <w:tcPr>
            <w:tcW w:w="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1858C2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娄永根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AF0458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吕静</w:t>
            </w:r>
          </w:p>
        </w:tc>
        <w:tc>
          <w:tcPr>
            <w:tcW w:w="2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0F509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Lu, Jing; Li, Jiancai; Ju, Hongping; Liu, Xiaoli; Erb, Matthias; Wang, Xia; Lou, Yonggen</w:t>
            </w:r>
          </w:p>
        </w:tc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628EA9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88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961DDB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SCI</w:t>
            </w:r>
          </w:p>
        </w:tc>
      </w:tr>
      <w:tr w14:paraId="41A700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4A5A6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6</w:t>
            </w:r>
          </w:p>
        </w:tc>
        <w:tc>
          <w:tcPr>
            <w:tcW w:w="4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1FEDA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 xml:space="preserve">Silencing </w:t>
            </w:r>
            <w:r>
              <w:rPr>
                <w:rFonts w:eastAsia="微软雅黑"/>
                <w:i/>
                <w:iCs/>
                <w:color w:val="000000"/>
                <w:szCs w:val="21"/>
              </w:rPr>
              <w:t xml:space="preserve">OsHI-LOX </w:t>
            </w:r>
            <w:r>
              <w:rPr>
                <w:rFonts w:eastAsia="微软雅黑"/>
                <w:color w:val="000000"/>
                <w:szCs w:val="21"/>
              </w:rPr>
              <w:t>makes rice more susceptible to chewing herbivores, but enhances resistance to a phloem feeder/ Plant Journal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1CA7ED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2009, 60 (4):638-648</w:t>
            </w:r>
          </w:p>
        </w:tc>
        <w:tc>
          <w:tcPr>
            <w:tcW w:w="1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22BD3F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2009-11</w:t>
            </w:r>
          </w:p>
        </w:tc>
        <w:tc>
          <w:tcPr>
            <w:tcW w:w="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EFAC5E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娄永根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A5EB61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周国鑫</w:t>
            </w:r>
          </w:p>
        </w:tc>
        <w:tc>
          <w:tcPr>
            <w:tcW w:w="2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7D7927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Zhou, Guoxin; Qi, Jinfeng; Ren, Nan; Cheng, Jiaan; Erb, Matthias; Mao, Bizeng; Lou, Yonggen</w:t>
            </w:r>
          </w:p>
        </w:tc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2F027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198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FA422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SCI</w:t>
            </w:r>
          </w:p>
        </w:tc>
      </w:tr>
      <w:tr w14:paraId="6E2A8B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860CF6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7</w:t>
            </w:r>
          </w:p>
        </w:tc>
        <w:tc>
          <w:tcPr>
            <w:tcW w:w="4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04EFB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Prioritizing plant defence over growth through WRKY regulation facilitates infestation by non-target herbivores/eLife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556B1C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2015, 4:e04805</w:t>
            </w:r>
          </w:p>
        </w:tc>
        <w:tc>
          <w:tcPr>
            <w:tcW w:w="1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59701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2015-06</w:t>
            </w:r>
          </w:p>
        </w:tc>
        <w:tc>
          <w:tcPr>
            <w:tcW w:w="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C1633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娄永根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49A91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李冉</w:t>
            </w:r>
          </w:p>
        </w:tc>
        <w:tc>
          <w:tcPr>
            <w:tcW w:w="2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A1FB6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Li, Ran; Zhang, Jin; Li, Jiancai; Zhou, Guoxin; Wang, Qi; Bian, Wenbo; Erb, Matthias; Lou, Yonggen</w:t>
            </w:r>
          </w:p>
        </w:tc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EEB3F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130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EE700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SCI</w:t>
            </w:r>
          </w:p>
        </w:tc>
      </w:tr>
      <w:tr w14:paraId="22F7B38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2045B3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8</w:t>
            </w:r>
          </w:p>
        </w:tc>
        <w:tc>
          <w:tcPr>
            <w:tcW w:w="4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38598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Molecular dissection of rice phytohormone signaling involved in resistance to a piercing-sucking herbivore/New Phytologist</w:t>
            </w:r>
          </w:p>
        </w:tc>
        <w:tc>
          <w:tcPr>
            <w:tcW w:w="1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7C598C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2021, 230 (4):1639-1652</w:t>
            </w:r>
          </w:p>
        </w:tc>
        <w:tc>
          <w:tcPr>
            <w:tcW w:w="1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B749D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2021-05</w:t>
            </w:r>
          </w:p>
        </w:tc>
        <w:tc>
          <w:tcPr>
            <w:tcW w:w="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D935D4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娄永根</w:t>
            </w:r>
            <w:r>
              <w:rPr>
                <w:rFonts w:eastAsia="微软雅黑"/>
                <w:color w:val="000000"/>
                <w:szCs w:val="21"/>
              </w:rPr>
              <w:br w:type="textWrapping"/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李冉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733EE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许洁</w:t>
            </w:r>
          </w:p>
        </w:tc>
        <w:tc>
          <w:tcPr>
            <w:tcW w:w="2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06110A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Xu, Jie; Wang, Xinjue; Zu, Hongyue; Zeng, Xuan; Baldwin, Ian; Lou, Yonggen; Li, Ran</w:t>
            </w:r>
          </w:p>
        </w:tc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6EC39F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119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21669">
            <w:pPr>
              <w:jc w:val="left"/>
              <w:rPr>
                <w:rFonts w:eastAsia="仿宋_GB2312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SCI</w:t>
            </w:r>
          </w:p>
        </w:tc>
      </w:tr>
      <w:tr w14:paraId="2938C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C23201"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177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175969">
            <w:pPr>
              <w:jc w:val="righ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合计</w:t>
            </w:r>
          </w:p>
        </w:tc>
        <w:tc>
          <w:tcPr>
            <w:tcW w:w="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75E31D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1025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F9D5F">
            <w:pPr>
              <w:rPr>
                <w:rFonts w:eastAsia="仿宋_GB2312"/>
                <w:sz w:val="24"/>
                <w:szCs w:val="24"/>
              </w:rPr>
            </w:pPr>
          </w:p>
        </w:tc>
      </w:tr>
    </w:tbl>
    <w:p w14:paraId="77EC2B2A"/>
    <w:p w14:paraId="536C65C9">
      <w:pPr>
        <w:rPr>
          <w:rFonts w:eastAsia="仿宋_GB2312"/>
          <w:b/>
          <w:bCs/>
          <w:sz w:val="24"/>
          <w:szCs w:val="28"/>
        </w:rPr>
      </w:pPr>
      <w:r>
        <w:rPr>
          <w:rFonts w:eastAsia="仿宋_GB2312"/>
          <w:b/>
          <w:bCs/>
          <w:sz w:val="24"/>
          <w:szCs w:val="28"/>
        </w:rPr>
        <w:t>承诺：</w:t>
      </w:r>
      <w:r>
        <w:rPr>
          <w:rFonts w:eastAsia="仿宋_GB2312"/>
          <w:bCs/>
          <w:sz w:val="24"/>
          <w:szCs w:val="24"/>
        </w:rPr>
        <w:t>上述论文专著符合提名要求且无争议。以上论文专著用于提名202</w:t>
      </w:r>
      <w:r>
        <w:rPr>
          <w:rFonts w:hint="eastAsia" w:eastAsia="仿宋_GB2312"/>
          <w:bCs/>
          <w:sz w:val="24"/>
          <w:szCs w:val="24"/>
        </w:rPr>
        <w:t>4</w:t>
      </w:r>
      <w:r>
        <w:rPr>
          <w:rFonts w:eastAsia="仿宋_GB2312"/>
          <w:bCs/>
          <w:sz w:val="24"/>
          <w:szCs w:val="24"/>
        </w:rPr>
        <w:t>年度省</w:t>
      </w:r>
      <w:r>
        <w:rPr>
          <w:rFonts w:hint="eastAsia" w:eastAsia="仿宋_GB2312"/>
          <w:bCs/>
          <w:sz w:val="24"/>
          <w:szCs w:val="24"/>
        </w:rPr>
        <w:t>自然科学</w:t>
      </w:r>
      <w:r>
        <w:rPr>
          <w:rFonts w:eastAsia="仿宋_GB2312"/>
          <w:bCs/>
          <w:sz w:val="24"/>
          <w:szCs w:val="24"/>
        </w:rPr>
        <w:t>奖的情况，已征得未列入成果完成人的</w:t>
      </w:r>
      <w:r>
        <w:rPr>
          <w:rFonts w:hint="eastAsia" w:eastAsia="仿宋_GB2312"/>
          <w:bCs/>
          <w:sz w:val="24"/>
          <w:szCs w:val="24"/>
        </w:rPr>
        <w:t>作者</w:t>
      </w:r>
      <w:r>
        <w:rPr>
          <w:rFonts w:eastAsia="仿宋_GB2312"/>
          <w:bCs/>
          <w:sz w:val="24"/>
          <w:szCs w:val="24"/>
        </w:rPr>
        <w:t>同意，有关知情证明材料均存档备查。</w:t>
      </w:r>
    </w:p>
    <w:p w14:paraId="1D44B4FE">
      <w:pPr>
        <w:ind w:firstLine="10080" w:firstLineChars="4200"/>
        <w:rPr>
          <w:rFonts w:eastAsia="仿宋_GB2312"/>
          <w:b/>
          <w:bCs/>
          <w:sz w:val="24"/>
          <w:szCs w:val="28"/>
        </w:rPr>
      </w:pPr>
      <w:r>
        <w:rPr>
          <w:rFonts w:eastAsia="仿宋_GB2312"/>
          <w:sz w:val="24"/>
        </w:rPr>
        <w:t>第一完成人</w:t>
      </w:r>
      <w:r>
        <w:rPr>
          <w:rFonts w:hint="eastAsia" w:eastAsia="仿宋_GB2312"/>
          <w:sz w:val="24"/>
        </w:rPr>
        <w:t>签字</w:t>
      </w:r>
      <w:r>
        <w:rPr>
          <w:rFonts w:eastAsia="仿宋_GB2312"/>
          <w:sz w:val="24"/>
        </w:rPr>
        <w:t>：</w:t>
      </w:r>
      <w:r>
        <w:rPr>
          <w:rFonts w:hint="eastAsia" w:eastAsia="仿宋_GB2312"/>
          <w:b/>
          <w:bCs/>
          <w:sz w:val="24"/>
          <w:szCs w:val="28"/>
        </w:rPr>
        <w:drawing>
          <wp:inline distT="0" distB="0" distL="114300" distR="114300">
            <wp:extent cx="720090" cy="389890"/>
            <wp:effectExtent l="0" t="0" r="3810" b="3810"/>
            <wp:docPr id="1" name="图片 1" descr="cfab76a599d75bfb3f75465a8660e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ab76a599d75bfb3f75465a8660e51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05B5"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</w:p>
    <w:p w14:paraId="2CB46FE9">
      <w:pPr>
        <w:jc w:val="center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八、主要知识产权和标准规范目录（不超过5件）</w:t>
      </w:r>
    </w:p>
    <w:tbl>
      <w:tblPr>
        <w:tblStyle w:val="16"/>
        <w:tblW w:w="141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577"/>
        <w:gridCol w:w="992"/>
        <w:gridCol w:w="1655"/>
        <w:gridCol w:w="1102"/>
        <w:gridCol w:w="1213"/>
        <w:gridCol w:w="1213"/>
        <w:gridCol w:w="2215"/>
        <w:gridCol w:w="2089"/>
      </w:tblGrid>
      <w:tr w14:paraId="52DE0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3DA61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26183C38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5A22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0BDFFD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17E1032B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9C387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5FE5D45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48F9A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授权（标准发布）日期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30804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0A69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C377EC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FEF284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14:paraId="5403F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79141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4E0415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水稻源抗虫相关基因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OsLRR2</w:t>
            </w:r>
            <w:r>
              <w:rPr>
                <w:rStyle w:val="39"/>
                <w:lang w:bidi="ar"/>
              </w:rPr>
              <w:t>及其编码产物与应用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54BE0D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5BB1F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ZL201410516932.1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1E6E9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2017-02-01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CED52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2365662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62E12F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浙江大学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64D24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娄永根，叶萌，胡凌飞，孙浩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BBCD7E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有效</w:t>
            </w:r>
          </w:p>
        </w:tc>
      </w:tr>
      <w:tr w14:paraId="4F0C2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8F358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3D08DF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一种激发水稻诱导抗虫性的方法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1AFB5A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1626A2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ZL201510613527.6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E631F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2017-06-30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1F360B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2535707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37A275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浙江大学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E897B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娄永根，王弯弯，吴军，何兴瑞，莫晓畅，金诺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00B5D1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有效</w:t>
            </w:r>
          </w:p>
        </w:tc>
      </w:tr>
      <w:tr w14:paraId="3DE12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3C50C9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F3234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水稻基因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CYP71A1</w:t>
            </w:r>
            <w:r>
              <w:rPr>
                <w:rStyle w:val="39"/>
                <w:lang w:bidi="ar"/>
              </w:rPr>
              <w:t>和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5-</w:t>
            </w:r>
            <w:r>
              <w:rPr>
                <w:rStyle w:val="39"/>
                <w:lang w:bidi="ar"/>
              </w:rPr>
              <w:t>羟色胺在调控水稻植株抗虫性中的应用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5950A5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65AE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ZL201710550995.2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A1FA0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2019-07-09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DB2F7A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3447947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3F4C7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浙江大学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42E6F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芦海平，舒庆尧，富昊伟，娄永根，叶恭银，张渭章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7DBCF7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有效</w:t>
            </w:r>
          </w:p>
        </w:tc>
      </w:tr>
      <w:tr w14:paraId="63CE42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253132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6172D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水稻源抗虫相关基因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OsIDP1</w:t>
            </w:r>
            <w:r>
              <w:rPr>
                <w:rStyle w:val="39"/>
                <w:lang w:bidi="ar"/>
              </w:rPr>
              <w:t>及其编码产物与应用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CA2D76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12CC6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ZL202011222919.7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F0485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2022-05-06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C5D8F9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5133349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5F715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浙江大学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0606D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娄永根，蒯鹏，叶苗芬，林娜，陈舒婷，叶萌，胡凌飞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 xml:space="preserve">  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8ED4D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有效</w:t>
            </w:r>
          </w:p>
        </w:tc>
      </w:tr>
      <w:tr w14:paraId="5265E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183F80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BCB91C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水稻源抗虫相关基因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OsLRR6</w:t>
            </w:r>
            <w:r>
              <w:rPr>
                <w:rStyle w:val="39"/>
                <w:lang w:bidi="ar"/>
              </w:rPr>
              <w:t>及其编码产物与应用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2E755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9C6F35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ZL202011224100.4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280FEE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2022-08-09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89504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>5368021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DC6029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浙江大学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1F6084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娄永根，蒯鹏，叶苗芬，陈舒婷，林娜，叶萌，胡凌飞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lang w:bidi="ar"/>
              </w:rPr>
              <w:t xml:space="preserve">  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66EE3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Style w:val="39"/>
                <w:lang w:bidi="ar"/>
              </w:rPr>
              <w:t>有效</w:t>
            </w:r>
          </w:p>
        </w:tc>
      </w:tr>
    </w:tbl>
    <w:p w14:paraId="2A728F9E">
      <w:pPr>
        <w:ind w:firstLine="482" w:firstLineChars="200"/>
        <w:rPr>
          <w:rFonts w:eastAsia="仿宋_GB2312"/>
          <w:b/>
          <w:bCs/>
          <w:sz w:val="24"/>
          <w:szCs w:val="28"/>
        </w:rPr>
      </w:pPr>
    </w:p>
    <w:p w14:paraId="2B1DF26A">
      <w:pPr>
        <w:ind w:firstLine="482" w:firstLineChars="200"/>
        <w:rPr>
          <w:rFonts w:eastAsia="仿宋_GB2312"/>
          <w:bCs/>
          <w:sz w:val="24"/>
          <w:szCs w:val="28"/>
        </w:rPr>
      </w:pPr>
      <w:r>
        <w:rPr>
          <w:rFonts w:eastAsia="仿宋_GB2312"/>
          <w:b/>
          <w:bCs/>
          <w:sz w:val="24"/>
          <w:szCs w:val="28"/>
        </w:rPr>
        <w:t>承诺：</w:t>
      </w:r>
      <w:r>
        <w:rPr>
          <w:rFonts w:eastAsia="仿宋_GB2312"/>
          <w:bCs/>
          <w:sz w:val="24"/>
          <w:szCs w:val="28"/>
        </w:rPr>
        <w:t>上述知识产权符合提名要求且无争议。以上知识产权和标准规范用于提名202</w:t>
      </w:r>
      <w:r>
        <w:rPr>
          <w:rFonts w:hint="eastAsia" w:eastAsia="仿宋_GB2312"/>
          <w:bCs/>
          <w:sz w:val="24"/>
          <w:szCs w:val="28"/>
        </w:rPr>
        <w:t>4</w:t>
      </w:r>
      <w:r>
        <w:rPr>
          <w:rFonts w:eastAsia="仿宋_GB2312"/>
          <w:bCs/>
          <w:sz w:val="24"/>
          <w:szCs w:val="28"/>
        </w:rPr>
        <w:t>年度省自然科学奖的情况，已征得未列入成果完成单位或完成人的发明人、权利人的同意，有关知情证明材料均存档备案。</w:t>
      </w:r>
    </w:p>
    <w:p w14:paraId="1426167A">
      <w:pPr>
        <w:ind w:firstLine="480" w:firstLineChars="200"/>
        <w:rPr>
          <w:rFonts w:eastAsia="仿宋_GB2312"/>
          <w:bCs/>
          <w:sz w:val="24"/>
          <w:szCs w:val="24"/>
        </w:rPr>
      </w:pPr>
    </w:p>
    <w:p w14:paraId="6A4425C8">
      <w:pPr>
        <w:spacing w:after="1"/>
        <w:jc w:val="left"/>
        <w:rPr>
          <w:rFonts w:eastAsia="仿宋_GB2312"/>
          <w:kern w:val="0"/>
          <w:sz w:val="32"/>
          <w:szCs w:val="32"/>
        </w:rPr>
        <w:sectPr>
          <w:pgSz w:w="16838" w:h="11906" w:orient="landscape"/>
          <w:pgMar w:top="1247" w:right="1134" w:bottom="1247" w:left="1417" w:header="851" w:footer="992" w:gutter="0"/>
          <w:cols w:space="720" w:num="1"/>
        </w:sectPr>
      </w:pPr>
      <w:r>
        <w:rPr>
          <w:rFonts w:eastAsia="仿宋_GB2312"/>
          <w:bCs/>
          <w:sz w:val="24"/>
          <w:szCs w:val="24"/>
        </w:rPr>
        <w:t xml:space="preserve">                                                                                  </w:t>
      </w:r>
      <w:r>
        <w:rPr>
          <w:rFonts w:eastAsia="仿宋_GB2312"/>
          <w:sz w:val="24"/>
          <w:szCs w:val="24"/>
        </w:rPr>
        <w:t xml:space="preserve"> 第一完成人</w:t>
      </w:r>
      <w:r>
        <w:rPr>
          <w:rFonts w:hint="eastAsia" w:eastAsia="仿宋_GB2312"/>
          <w:sz w:val="24"/>
          <w:szCs w:val="24"/>
        </w:rPr>
        <w:t>签字：</w:t>
      </w:r>
      <w:r>
        <w:rPr>
          <w:rFonts w:hint="eastAsia" w:eastAsia="仿宋_GB2312"/>
          <w:b/>
          <w:bCs/>
          <w:sz w:val="24"/>
          <w:szCs w:val="28"/>
        </w:rPr>
        <w:drawing>
          <wp:inline distT="0" distB="0" distL="114300" distR="114300">
            <wp:extent cx="720090" cy="389890"/>
            <wp:effectExtent l="0" t="0" r="3810" b="3810"/>
            <wp:docPr id="2" name="图片 2" descr="cfab76a599d75bfb3f75465a8660e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ab76a599d75bfb3f75465a8660e51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9C6C2">
      <w:pPr>
        <w:adjustRightInd w:val="0"/>
        <w:snapToGrid w:val="0"/>
        <w:spacing w:after="1" w:line="560" w:lineRule="exact"/>
        <w:rPr>
          <w:rFonts w:eastAsia="仿宋_GB2312"/>
          <w:sz w:val="32"/>
          <w:szCs w:val="32"/>
        </w:rPr>
      </w:pPr>
    </w:p>
    <w:sectPr>
      <w:pgSz w:w="16838" w:h="11906" w:orient="landscape"/>
      <w:pgMar w:top="1247" w:right="1134" w:bottom="124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0FD41E-4432-4991-BB1D-DD9A5ADD49B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B160D47-5EA6-4F81-A3D1-3BDFE38D9F4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6354FFD-DDAE-47B7-9272-DE6A14B4981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884C2D6-B9B7-4AE2-AA28-61A924422A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4F5BC2B-825D-4FCF-808C-CC9C5AD64CC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D10E4EE-B1B1-4CDF-B627-676869AF790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6340899-16CD-4A02-9983-9EF6E03C9F1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790DC3B-FFDD-4D41-99A0-FD34E3BF130F}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E97C2FF4-49A7-4CE9-9043-8189C2D9C723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028D1556-53C3-4D20-AB0E-690174C7EC7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DCAFADC3-BB30-4E12-A5A7-348D753B87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  <w:showingPlcHdr/>
    </w:sdtPr>
    <w:sdtEndPr>
      <w:rPr>
        <w:sz w:val="21"/>
        <w:szCs w:val="21"/>
      </w:rPr>
    </w:sdtEndPr>
    <w:sdtContent>
      <w:p w14:paraId="545B1EAA">
        <w:pPr>
          <w:pStyle w:val="9"/>
          <w:jc w:val="center"/>
          <w:rPr>
            <w:sz w:val="21"/>
            <w:szCs w:val="21"/>
          </w:rPr>
        </w:pPr>
        <w:r>
          <w:rPr>
            <w:rFonts w:hint="eastAsia"/>
          </w:rP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02C662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2938"/>
    <w:rsid w:val="00053F24"/>
    <w:rsid w:val="0006546D"/>
    <w:rsid w:val="00067E32"/>
    <w:rsid w:val="00083906"/>
    <w:rsid w:val="000847FC"/>
    <w:rsid w:val="000929AE"/>
    <w:rsid w:val="000A0FE4"/>
    <w:rsid w:val="000A1A63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B50BE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42E7B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30FD3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448CB"/>
    <w:rsid w:val="00A5008B"/>
    <w:rsid w:val="00A65CD4"/>
    <w:rsid w:val="00A70F4C"/>
    <w:rsid w:val="00A736E3"/>
    <w:rsid w:val="00A85645"/>
    <w:rsid w:val="00AA2372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3BAF"/>
    <w:rsid w:val="00B362C3"/>
    <w:rsid w:val="00B43F7F"/>
    <w:rsid w:val="00B63A00"/>
    <w:rsid w:val="00B651CC"/>
    <w:rsid w:val="00B71AA4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B0E8D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786794"/>
    <w:rsid w:val="0BB30987"/>
    <w:rsid w:val="0C4729B0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6A3BBF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1FCB71F7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205BC4"/>
    <w:rsid w:val="41F15E70"/>
    <w:rsid w:val="42282581"/>
    <w:rsid w:val="424763D5"/>
    <w:rsid w:val="42BF5395"/>
    <w:rsid w:val="42CE526A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68359A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CF3167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38">
    <w:name w:val="font51"/>
    <w:basedOn w:val="18"/>
    <w:qFormat/>
    <w:uiPriority w:val="0"/>
    <w:rPr>
      <w:rFonts w:ascii="仿宋" w:hAnsi="仿宋" w:eastAsia="仿宋" w:cs="仿宋"/>
      <w:color w:val="000000"/>
      <w:sz w:val="24"/>
      <w:szCs w:val="24"/>
      <w:u w:val="none"/>
    </w:rPr>
  </w:style>
  <w:style w:type="character" w:customStyle="1" w:styleId="39">
    <w:name w:val="font61"/>
    <w:basedOn w:val="18"/>
    <w:qFormat/>
    <w:uiPriority w:val="0"/>
    <w:rPr>
      <w:rFonts w:ascii="仿宋" w:hAnsi="仿宋" w:eastAsia="仿宋" w:cs="仿宋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1473</Words>
  <Characters>3429</Characters>
  <Lines>254</Lines>
  <Paragraphs>200</Paragraphs>
  <TotalTime>29</TotalTime>
  <ScaleCrop>false</ScaleCrop>
  <LinksUpToDate>false</LinksUpToDate>
  <CharactersWithSpaces>3798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2025-09-11T08:16:00Z</dcterms:created>
  <dc:creator>胡胜链</dc:creator>
  <cp:lastModifiedBy>喔喔乃糖</cp:lastModifiedBy>
  <cp:lastPrinted>2022-01-28T09:53:00Z</cp:lastPrinted>
  <dcterms:modified xsi:type="dcterms:W3CDTF">2025-09-15T08:41:14Z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8B1B1825E7E94E94A73307BE721D075A_13</vt:lpwstr>
  </property>
  <property fmtid="{D5CDD505-2E9C-101B-9397-08002B2CF9AE}" pid="4" name="KSOTemplateDocerSaveRecord">
    <vt:lpwstr>eyJoZGlkIjoiM2FjOGNiOWFjYjAzNzIwZDQ0YzBkYTYxMTFjOTIyMTMiLCJ1c2VySWQiOiIyNjQxNjA0NTYifQ==</vt:lpwstr>
  </property>
  <property fmtid="{D5CDD505-2E9C-101B-9397-08002B2CF9AE}" pid="5" name="GrammarlyDocumentId">
    <vt:lpwstr>bdcef5ec-89d9-479d-ae15-d61774dfa986</vt:lpwstr>
  </property>
</Properties>
</file>