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1F4BD">
      <w:pPr>
        <w:jc w:val="center"/>
        <w:rPr>
          <w:rStyle w:val="36"/>
          <w:rFonts w:eastAsia="方正小标宋简体"/>
          <w:bCs w:val="0"/>
          <w:color w:val="auto"/>
          <w:sz w:val="36"/>
          <w:szCs w:val="36"/>
        </w:rPr>
      </w:pPr>
      <w:bookmarkStart w:id="0" w:name="_GoBack"/>
      <w:bookmarkEnd w:id="0"/>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20B6D97E">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72"/>
        <w:gridCol w:w="6634"/>
      </w:tblGrid>
      <w:tr w14:paraId="31E8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872" w:type="dxa"/>
            <w:vAlign w:val="center"/>
          </w:tcPr>
          <w:p w14:paraId="21C280A8">
            <w:pPr>
              <w:jc w:val="center"/>
              <w:rPr>
                <w:rStyle w:val="36"/>
                <w:rFonts w:eastAsia="仿宋_GB2312"/>
                <w:b w:val="0"/>
                <w:color w:val="auto"/>
                <w:sz w:val="28"/>
              </w:rPr>
            </w:pPr>
            <w:r>
              <w:rPr>
                <w:rStyle w:val="36"/>
                <w:rFonts w:eastAsia="仿宋_GB2312"/>
                <w:b w:val="0"/>
                <w:bCs w:val="0"/>
                <w:color w:val="auto"/>
                <w:sz w:val="28"/>
              </w:rPr>
              <w:t>成果名称</w:t>
            </w:r>
          </w:p>
        </w:tc>
        <w:tc>
          <w:tcPr>
            <w:tcW w:w="6634" w:type="dxa"/>
            <w:vAlign w:val="center"/>
          </w:tcPr>
          <w:p w14:paraId="3DCE6441">
            <w:pPr>
              <w:rPr>
                <w:rStyle w:val="36"/>
                <w:rFonts w:eastAsia="仿宋_GB2312"/>
                <w:b w:val="0"/>
                <w:color w:val="auto"/>
                <w:sz w:val="28"/>
              </w:rPr>
            </w:pPr>
            <w:r>
              <w:rPr>
                <w:rStyle w:val="36"/>
                <w:rFonts w:hint="eastAsia" w:eastAsia="仿宋_GB2312"/>
                <w:b w:val="0"/>
                <w:color w:val="auto"/>
                <w:sz w:val="28"/>
              </w:rPr>
              <w:t>早期肺癌单孔胸腔镜微创关键技术创新与加速康复模式的推广应用</w:t>
            </w:r>
          </w:p>
        </w:tc>
      </w:tr>
      <w:tr w14:paraId="6B4F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872" w:type="dxa"/>
            <w:vAlign w:val="center"/>
          </w:tcPr>
          <w:p w14:paraId="4EDCFB7A">
            <w:pPr>
              <w:jc w:val="center"/>
              <w:rPr>
                <w:rStyle w:val="36"/>
                <w:rFonts w:eastAsia="仿宋_GB2312"/>
                <w:b w:val="0"/>
                <w:color w:val="auto"/>
                <w:sz w:val="28"/>
              </w:rPr>
            </w:pPr>
            <w:r>
              <w:rPr>
                <w:rStyle w:val="36"/>
                <w:rFonts w:eastAsia="仿宋_GB2312"/>
                <w:b w:val="0"/>
                <w:bCs w:val="0"/>
                <w:color w:val="auto"/>
                <w:sz w:val="28"/>
              </w:rPr>
              <w:t>提名等级</w:t>
            </w:r>
          </w:p>
        </w:tc>
        <w:tc>
          <w:tcPr>
            <w:tcW w:w="6634" w:type="dxa"/>
            <w:vAlign w:val="center"/>
          </w:tcPr>
          <w:p w14:paraId="0EA85848">
            <w:pPr>
              <w:rPr>
                <w:rStyle w:val="36"/>
                <w:rFonts w:eastAsia="仿宋_GB2312"/>
                <w:b w:val="0"/>
                <w:color w:val="auto"/>
                <w:sz w:val="28"/>
              </w:rPr>
            </w:pPr>
            <w:r>
              <w:rPr>
                <w:rFonts w:eastAsia="仿宋_GB2312"/>
                <w:sz w:val="28"/>
                <w:szCs w:val="24"/>
              </w:rPr>
              <w:t>科技进步</w:t>
            </w:r>
            <w:r>
              <w:rPr>
                <w:rStyle w:val="36"/>
                <w:rFonts w:hint="eastAsia" w:eastAsia="仿宋_GB2312"/>
                <w:b w:val="0"/>
                <w:color w:val="auto"/>
                <w:sz w:val="28"/>
              </w:rPr>
              <w:t>二等奖</w:t>
            </w:r>
          </w:p>
        </w:tc>
      </w:tr>
      <w:tr w14:paraId="7F1BA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1872" w:type="dxa"/>
            <w:vAlign w:val="center"/>
          </w:tcPr>
          <w:p w14:paraId="629FD6AD">
            <w:pPr>
              <w:spacing w:line="440" w:lineRule="exact"/>
              <w:jc w:val="center"/>
              <w:rPr>
                <w:rFonts w:eastAsia="仿宋_GB2312"/>
                <w:bCs/>
                <w:sz w:val="28"/>
                <w:szCs w:val="24"/>
              </w:rPr>
            </w:pPr>
            <w:r>
              <w:rPr>
                <w:rFonts w:eastAsia="仿宋_GB2312"/>
                <w:bCs/>
                <w:sz w:val="28"/>
                <w:szCs w:val="24"/>
              </w:rPr>
              <w:t>提名书</w:t>
            </w:r>
          </w:p>
          <w:p w14:paraId="28FB9CAA">
            <w:pPr>
              <w:spacing w:line="440" w:lineRule="exact"/>
              <w:jc w:val="center"/>
              <w:rPr>
                <w:rFonts w:eastAsia="仿宋_GB2312"/>
                <w:bCs/>
                <w:sz w:val="28"/>
                <w:szCs w:val="24"/>
              </w:rPr>
            </w:pPr>
            <w:r>
              <w:rPr>
                <w:rFonts w:eastAsia="仿宋_GB2312"/>
                <w:bCs/>
                <w:sz w:val="28"/>
                <w:szCs w:val="24"/>
              </w:rPr>
              <w:t>相关内容</w:t>
            </w:r>
          </w:p>
        </w:tc>
        <w:tc>
          <w:tcPr>
            <w:tcW w:w="6634" w:type="dxa"/>
            <w:vAlign w:val="center"/>
          </w:tcPr>
          <w:p w14:paraId="54DB6FE7">
            <w:pPr>
              <w:pStyle w:val="32"/>
              <w:numPr>
                <w:ilvl w:val="0"/>
                <w:numId w:val="1"/>
              </w:numPr>
              <w:spacing w:line="440" w:lineRule="exact"/>
              <w:ind w:firstLineChars="0"/>
              <w:jc w:val="left"/>
              <w:rPr>
                <w:bCs/>
                <w:sz w:val="24"/>
                <w:szCs w:val="24"/>
              </w:rPr>
            </w:pPr>
            <w:r>
              <w:rPr>
                <w:bCs/>
                <w:sz w:val="24"/>
                <w:szCs w:val="24"/>
              </w:rPr>
              <w:t xml:space="preserve">Shao M, Yao J, Wang Y, Zhao L, Li B, Li L, Wu Z, Chen Z, Fan J, Qiu F. Two vs three cycles of neoadjuvant sintilimab plus chemotherapy for resectable non-small-cell lung cancer: neoSCORE trial. Signal Transduct Target Ther. 2023 Apr 10;8(1):146. </w:t>
            </w:r>
          </w:p>
          <w:p w14:paraId="17670009">
            <w:pPr>
              <w:pStyle w:val="32"/>
              <w:numPr>
                <w:ilvl w:val="0"/>
                <w:numId w:val="1"/>
              </w:numPr>
              <w:spacing w:line="440" w:lineRule="exact"/>
              <w:ind w:firstLineChars="0"/>
              <w:jc w:val="left"/>
              <w:rPr>
                <w:bCs/>
                <w:sz w:val="24"/>
                <w:szCs w:val="24"/>
              </w:rPr>
            </w:pPr>
            <w:r>
              <w:rPr>
                <w:bCs/>
                <w:sz w:val="24"/>
                <w:szCs w:val="24"/>
              </w:rPr>
              <w:t>Zhang G, Fan J, Yu Z, Chai Y, Zhang S, Wu M, Shen G. Video-assisted thoracoscopic treatment as two-day surgery for lung neoplasms: a propensity-matched analysis. BMC Cancer. 2022 Jul 30;22(1):832.</w:t>
            </w:r>
          </w:p>
          <w:p w14:paraId="3C58CBC8">
            <w:pPr>
              <w:pStyle w:val="32"/>
              <w:numPr>
                <w:ilvl w:val="0"/>
                <w:numId w:val="1"/>
              </w:numPr>
              <w:spacing w:line="440" w:lineRule="exact"/>
              <w:ind w:firstLineChars="0"/>
              <w:jc w:val="left"/>
              <w:rPr>
                <w:bCs/>
                <w:sz w:val="24"/>
                <w:szCs w:val="24"/>
              </w:rPr>
            </w:pPr>
            <w:r>
              <w:rPr>
                <w:bCs/>
                <w:sz w:val="24"/>
                <w:szCs w:val="24"/>
              </w:rPr>
              <w:t xml:space="preserve">Fan J, Yao J, Si H, Xie H, Ge T, Ye W, Chen J, Yin Z, Zhuang F, Xu L, Su H, Zhao S, Xie X, Zhao D, Wu C, Zhu Y, Ren Y, Xu N, Chen C; Surgical Thoracic Alliance of Rising Star Group. Frozen sections accurately predict the IASLC proposed grading system and prognosis in patients with invasive lung adenocarcinomas. Lung Cancer. 2023 Apr;178:123-130. </w:t>
            </w:r>
          </w:p>
          <w:p w14:paraId="434D1B42">
            <w:pPr>
              <w:pStyle w:val="32"/>
              <w:numPr>
                <w:ilvl w:val="0"/>
                <w:numId w:val="1"/>
              </w:numPr>
              <w:spacing w:line="440" w:lineRule="exact"/>
              <w:ind w:firstLineChars="0"/>
              <w:jc w:val="left"/>
              <w:rPr>
                <w:bCs/>
                <w:sz w:val="24"/>
                <w:szCs w:val="24"/>
              </w:rPr>
            </w:pPr>
            <w:r>
              <w:rPr>
                <w:bCs/>
                <w:sz w:val="24"/>
                <w:szCs w:val="24"/>
              </w:rPr>
              <w:t xml:space="preserve">Yao J, Chang Z, Zhu L, Fan J. Uniportal versus multiportal thoracoscopic lobectomy: Ergonomic evaluation and perioperative outcomes from a randomized and controlled trial. Medicine (Baltimore). 2020 Oct 16;99(42):e22719. </w:t>
            </w:r>
          </w:p>
          <w:p w14:paraId="3FB5BECF">
            <w:pPr>
              <w:pStyle w:val="32"/>
              <w:numPr>
                <w:ilvl w:val="0"/>
                <w:numId w:val="1"/>
              </w:numPr>
              <w:spacing w:line="440" w:lineRule="exact"/>
              <w:ind w:firstLineChars="0"/>
              <w:jc w:val="left"/>
              <w:rPr>
                <w:bCs/>
                <w:sz w:val="24"/>
                <w:szCs w:val="24"/>
              </w:rPr>
            </w:pPr>
            <w:r>
              <w:rPr>
                <w:bCs/>
                <w:sz w:val="24"/>
                <w:szCs w:val="24"/>
              </w:rPr>
              <w:t>Yao J, Zhu E, Li M, Liu J, Zhang L, Ke H, Su H, Xie H, Xu G, Zhu L, Fan J, Chen C; Surgical Thoracic Alliance of Rising Star Collaborative Group. Prognostic impact of micropapillary component in patients with node-negative subcentimeter lung adenocarcinoma: A Chinese cohort study. Thorac Cancer. 2020 Dec;11(12):3566-3575.</w:t>
            </w:r>
          </w:p>
          <w:p w14:paraId="3183C633">
            <w:pPr>
              <w:pStyle w:val="32"/>
              <w:numPr>
                <w:ilvl w:val="0"/>
                <w:numId w:val="1"/>
              </w:numPr>
              <w:spacing w:line="440" w:lineRule="exact"/>
              <w:ind w:firstLineChars="0"/>
              <w:jc w:val="left"/>
              <w:rPr>
                <w:bCs/>
                <w:sz w:val="24"/>
                <w:szCs w:val="24"/>
              </w:rPr>
            </w:pPr>
            <w:r>
              <w:rPr>
                <w:bCs/>
                <w:sz w:val="24"/>
                <w:szCs w:val="24"/>
              </w:rPr>
              <w:t>Zhang G, Xu D, Yu Z, Wang L, Gu H, Chai Y, Shen G. Preoperative non-invasive visual localization of synchronous multiple lung cancers using three-dimensional computed tomography lung reconstruction. J Cardiothorac Surg. 2021 Sep 26;16(1):273.</w:t>
            </w:r>
          </w:p>
          <w:p w14:paraId="4171CBCF">
            <w:pPr>
              <w:pStyle w:val="32"/>
              <w:numPr>
                <w:ilvl w:val="0"/>
                <w:numId w:val="1"/>
              </w:numPr>
              <w:spacing w:line="440" w:lineRule="exact"/>
              <w:ind w:firstLineChars="0"/>
              <w:jc w:val="left"/>
              <w:rPr>
                <w:bCs/>
                <w:sz w:val="24"/>
                <w:szCs w:val="24"/>
              </w:rPr>
            </w:pPr>
            <w:r>
              <w:rPr>
                <w:bCs/>
                <w:sz w:val="24"/>
                <w:szCs w:val="24"/>
              </w:rPr>
              <w:t xml:space="preserve">Huang L, Wu P, Li W, Chai Y. Combined Ectopic Variation of the Right Upper Pulmonary Vein and Bronchus. Ann Thorac Surg. 2020 May;109(5):e353-e355. </w:t>
            </w:r>
          </w:p>
          <w:p w14:paraId="293E5651">
            <w:pPr>
              <w:pStyle w:val="32"/>
              <w:numPr>
                <w:ilvl w:val="0"/>
                <w:numId w:val="1"/>
              </w:numPr>
              <w:spacing w:line="440" w:lineRule="exact"/>
              <w:ind w:firstLineChars="0"/>
              <w:jc w:val="left"/>
              <w:rPr>
                <w:bCs/>
                <w:sz w:val="24"/>
                <w:szCs w:val="24"/>
              </w:rPr>
            </w:pPr>
            <w:r>
              <w:rPr>
                <w:bCs/>
                <w:sz w:val="24"/>
                <w:szCs w:val="24"/>
              </w:rPr>
              <w:t>Chen Y, Xin Z, Huang L, Zhao L, Wang S, Cheng J, Wu P, Chai Y. CD8+ T Cells Form the Predominant Subset of NKG2A+ Cells in Human Lung Cancer. Front Immunol. 2020 Jan 17;10:3002.</w:t>
            </w:r>
          </w:p>
          <w:p w14:paraId="5F3493EC">
            <w:pPr>
              <w:pStyle w:val="32"/>
              <w:numPr>
                <w:ilvl w:val="0"/>
                <w:numId w:val="1"/>
              </w:numPr>
              <w:spacing w:line="440" w:lineRule="exact"/>
              <w:ind w:firstLineChars="0"/>
              <w:jc w:val="left"/>
              <w:rPr>
                <w:rFonts w:hint="eastAsia"/>
                <w:bCs/>
                <w:sz w:val="24"/>
                <w:szCs w:val="24"/>
              </w:rPr>
            </w:pPr>
            <w:r>
              <w:rPr>
                <w:bCs/>
                <w:sz w:val="24"/>
                <w:szCs w:val="24"/>
              </w:rPr>
              <w:t>Chen Y, Shao Z, Hao Z, Xin Z, Chen X, Huang L, Chen D, Lin M, Liu Q, Xu X, Li J, Wu D, Yan J, Chai Y, Wu P. Epithelium/imcDC2 axis facilitates the resistance of neoadjuvant anti-PD-1 in human NSCLC. J Immunother Cancer. 2024 Aug 12;12(8):e007854.</w:t>
            </w:r>
          </w:p>
        </w:tc>
      </w:tr>
      <w:tr w14:paraId="10B0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872" w:type="dxa"/>
            <w:tcBorders>
              <w:right w:val="single" w:color="auto" w:sz="4" w:space="0"/>
            </w:tcBorders>
            <w:vAlign w:val="center"/>
          </w:tcPr>
          <w:p w14:paraId="631AAE00">
            <w:pPr>
              <w:spacing w:line="440" w:lineRule="exact"/>
              <w:jc w:val="center"/>
              <w:rPr>
                <w:rFonts w:eastAsia="仿宋_GB2312"/>
                <w:bCs/>
                <w:sz w:val="28"/>
                <w:szCs w:val="24"/>
              </w:rPr>
            </w:pPr>
            <w:r>
              <w:rPr>
                <w:rFonts w:eastAsia="仿宋_GB2312"/>
                <w:bCs/>
                <w:sz w:val="28"/>
                <w:szCs w:val="24"/>
              </w:rPr>
              <w:t>主要完成人</w:t>
            </w:r>
          </w:p>
        </w:tc>
        <w:tc>
          <w:tcPr>
            <w:tcW w:w="6634" w:type="dxa"/>
            <w:tcBorders>
              <w:left w:val="single" w:color="auto" w:sz="4" w:space="0"/>
            </w:tcBorders>
            <w:vAlign w:val="center"/>
          </w:tcPr>
          <w:p w14:paraId="11922F03">
            <w:pPr>
              <w:spacing w:line="440" w:lineRule="exact"/>
              <w:rPr>
                <w:rFonts w:eastAsia="仿宋_GB2312"/>
                <w:bCs/>
                <w:sz w:val="24"/>
                <w:szCs w:val="24"/>
              </w:rPr>
            </w:pPr>
            <w:r>
              <w:rPr>
                <w:rFonts w:hint="eastAsia" w:eastAsia="仿宋_GB2312"/>
                <w:bCs/>
                <w:sz w:val="24"/>
                <w:szCs w:val="24"/>
              </w:rPr>
              <w:t>范军强</w:t>
            </w:r>
            <w:r>
              <w:rPr>
                <w:rFonts w:eastAsia="仿宋_GB2312"/>
                <w:bCs/>
                <w:sz w:val="24"/>
                <w:szCs w:val="24"/>
              </w:rPr>
              <w:t>，排名1，</w:t>
            </w:r>
            <w:r>
              <w:rPr>
                <w:rFonts w:hint="eastAsia" w:eastAsia="仿宋_GB2312"/>
                <w:bCs/>
                <w:sz w:val="24"/>
                <w:szCs w:val="24"/>
              </w:rPr>
              <w:t>主任医师</w:t>
            </w:r>
            <w:r>
              <w:rPr>
                <w:rFonts w:eastAsia="仿宋_GB2312"/>
                <w:bCs/>
                <w:sz w:val="24"/>
                <w:szCs w:val="24"/>
              </w:rPr>
              <w:t>，</w:t>
            </w:r>
            <w:r>
              <w:rPr>
                <w:rFonts w:hint="eastAsia" w:eastAsia="仿宋_GB2312"/>
                <w:bCs/>
                <w:sz w:val="24"/>
                <w:szCs w:val="24"/>
              </w:rPr>
              <w:t>浙江大学医学院附属第二医院；</w:t>
            </w:r>
          </w:p>
          <w:p w14:paraId="34D3BD6D">
            <w:pPr>
              <w:spacing w:line="440" w:lineRule="exact"/>
              <w:rPr>
                <w:rFonts w:eastAsia="仿宋_GB2312"/>
                <w:bCs/>
                <w:sz w:val="24"/>
                <w:szCs w:val="24"/>
              </w:rPr>
            </w:pPr>
            <w:r>
              <w:rPr>
                <w:rFonts w:hint="eastAsia" w:eastAsia="仿宋_GB2312"/>
                <w:bCs/>
                <w:sz w:val="24"/>
                <w:szCs w:val="24"/>
              </w:rPr>
              <w:t>沈钢，排名2，主任医师，浙江大学医学院附属第二医院；</w:t>
            </w:r>
          </w:p>
          <w:p w14:paraId="302246FB">
            <w:pPr>
              <w:spacing w:line="440" w:lineRule="exact"/>
              <w:rPr>
                <w:rFonts w:eastAsia="仿宋_GB2312"/>
                <w:bCs/>
                <w:sz w:val="24"/>
                <w:szCs w:val="24"/>
              </w:rPr>
            </w:pPr>
            <w:r>
              <w:rPr>
                <w:rFonts w:hint="eastAsia" w:eastAsia="仿宋_GB2312"/>
                <w:bCs/>
                <w:sz w:val="24"/>
                <w:szCs w:val="24"/>
              </w:rPr>
              <w:t>张国飞</w:t>
            </w:r>
            <w:r>
              <w:rPr>
                <w:rFonts w:eastAsia="仿宋_GB2312"/>
                <w:bCs/>
                <w:sz w:val="24"/>
                <w:szCs w:val="24"/>
              </w:rPr>
              <w:t>，排名</w:t>
            </w:r>
            <w:r>
              <w:rPr>
                <w:rFonts w:hint="eastAsia" w:eastAsia="仿宋_GB2312"/>
                <w:bCs/>
                <w:sz w:val="24"/>
                <w:szCs w:val="24"/>
              </w:rPr>
              <w:t>3</w:t>
            </w:r>
            <w:r>
              <w:rPr>
                <w:rFonts w:eastAsia="仿宋_GB2312"/>
                <w:bCs/>
                <w:sz w:val="24"/>
                <w:szCs w:val="24"/>
              </w:rPr>
              <w:t>，</w:t>
            </w:r>
            <w:r>
              <w:rPr>
                <w:rFonts w:hint="eastAsia" w:eastAsia="仿宋_GB2312"/>
                <w:bCs/>
                <w:sz w:val="24"/>
                <w:szCs w:val="24"/>
              </w:rPr>
              <w:t>副主任医师</w:t>
            </w:r>
            <w:r>
              <w:rPr>
                <w:rFonts w:eastAsia="仿宋_GB2312"/>
                <w:bCs/>
                <w:sz w:val="24"/>
                <w:szCs w:val="24"/>
              </w:rPr>
              <w:t>，</w:t>
            </w:r>
            <w:r>
              <w:rPr>
                <w:rFonts w:hint="eastAsia" w:eastAsia="仿宋_GB2312"/>
                <w:bCs/>
                <w:sz w:val="24"/>
                <w:szCs w:val="24"/>
              </w:rPr>
              <w:t>浙江大学医学院附属第二医院；</w:t>
            </w:r>
          </w:p>
          <w:p w14:paraId="189214C7">
            <w:pPr>
              <w:spacing w:line="440" w:lineRule="exact"/>
              <w:rPr>
                <w:rFonts w:eastAsia="仿宋_GB2312"/>
                <w:bCs/>
                <w:sz w:val="24"/>
                <w:szCs w:val="24"/>
              </w:rPr>
            </w:pPr>
            <w:r>
              <w:rPr>
                <w:rFonts w:hint="eastAsia" w:eastAsia="仿宋_GB2312"/>
                <w:bCs/>
                <w:sz w:val="24"/>
                <w:szCs w:val="24"/>
              </w:rPr>
              <w:t>姚杰</w:t>
            </w:r>
            <w:r>
              <w:rPr>
                <w:rFonts w:eastAsia="仿宋_GB2312"/>
                <w:bCs/>
                <w:sz w:val="24"/>
                <w:szCs w:val="24"/>
              </w:rPr>
              <w:t>，排名</w:t>
            </w:r>
            <w:r>
              <w:rPr>
                <w:rFonts w:hint="eastAsia" w:eastAsia="仿宋_GB2312"/>
                <w:bCs/>
                <w:sz w:val="24"/>
                <w:szCs w:val="24"/>
              </w:rPr>
              <w:t>4</w:t>
            </w:r>
            <w:r>
              <w:rPr>
                <w:rFonts w:eastAsia="仿宋_GB2312"/>
                <w:bCs/>
                <w:sz w:val="24"/>
                <w:szCs w:val="24"/>
              </w:rPr>
              <w:t>，</w:t>
            </w:r>
            <w:r>
              <w:rPr>
                <w:rFonts w:hint="eastAsia" w:eastAsia="仿宋_GB2312"/>
                <w:bCs/>
                <w:sz w:val="24"/>
                <w:szCs w:val="24"/>
              </w:rPr>
              <w:t>副主任医师</w:t>
            </w:r>
            <w:r>
              <w:rPr>
                <w:rFonts w:eastAsia="仿宋_GB2312"/>
                <w:bCs/>
                <w:sz w:val="24"/>
                <w:szCs w:val="24"/>
              </w:rPr>
              <w:t>，</w:t>
            </w:r>
            <w:r>
              <w:rPr>
                <w:rFonts w:hint="eastAsia" w:eastAsia="仿宋_GB2312"/>
                <w:bCs/>
                <w:sz w:val="24"/>
                <w:szCs w:val="24"/>
              </w:rPr>
              <w:t>浙江大学医学院附属第二医院；</w:t>
            </w:r>
          </w:p>
          <w:p w14:paraId="23E0FDA1">
            <w:pPr>
              <w:spacing w:line="440" w:lineRule="exact"/>
              <w:rPr>
                <w:rFonts w:eastAsia="仿宋_GB2312"/>
                <w:bCs/>
                <w:sz w:val="24"/>
                <w:szCs w:val="24"/>
              </w:rPr>
            </w:pPr>
            <w:r>
              <w:rPr>
                <w:rFonts w:eastAsia="仿宋_GB2312"/>
                <w:bCs/>
                <w:sz w:val="24"/>
                <w:szCs w:val="24"/>
              </w:rPr>
              <w:t>黄利坚</w:t>
            </w:r>
            <w:r>
              <w:rPr>
                <w:rFonts w:hint="eastAsia" w:eastAsia="仿宋_GB2312"/>
                <w:bCs/>
                <w:sz w:val="24"/>
                <w:szCs w:val="24"/>
              </w:rPr>
              <w:t>，排名5，副主任医师，浙江大学医学院附属第二医院；</w:t>
            </w:r>
          </w:p>
          <w:p w14:paraId="5525CE96">
            <w:pPr>
              <w:spacing w:line="440" w:lineRule="exact"/>
              <w:rPr>
                <w:rFonts w:eastAsia="仿宋_GB2312"/>
                <w:bCs/>
                <w:sz w:val="24"/>
                <w:szCs w:val="24"/>
              </w:rPr>
            </w:pPr>
            <w:r>
              <w:rPr>
                <w:rFonts w:hint="eastAsia" w:eastAsia="仿宋_GB2312"/>
                <w:bCs/>
                <w:sz w:val="24"/>
                <w:szCs w:val="24"/>
              </w:rPr>
              <w:t>常志博，排名6，主治医师，浙江大学医学院附属第二医院；</w:t>
            </w:r>
          </w:p>
          <w:p w14:paraId="7C8D5D18">
            <w:pPr>
              <w:spacing w:line="440" w:lineRule="exact"/>
              <w:rPr>
                <w:rFonts w:eastAsia="仿宋_GB2312"/>
                <w:bCs/>
                <w:sz w:val="24"/>
                <w:szCs w:val="24"/>
              </w:rPr>
            </w:pPr>
            <w:r>
              <w:rPr>
                <w:rFonts w:hint="eastAsia" w:eastAsia="仿宋_GB2312"/>
                <w:bCs/>
                <w:sz w:val="24"/>
                <w:szCs w:val="24"/>
              </w:rPr>
              <w:t>韩佳，排名7，主治医师，浙江大学医学院附属第二医院；</w:t>
            </w:r>
          </w:p>
          <w:p w14:paraId="30188AB1">
            <w:pPr>
              <w:spacing w:line="440" w:lineRule="exact"/>
              <w:rPr>
                <w:rFonts w:eastAsia="仿宋_GB2312"/>
                <w:bCs/>
                <w:sz w:val="24"/>
                <w:szCs w:val="24"/>
              </w:rPr>
            </w:pPr>
            <w:r>
              <w:rPr>
                <w:rFonts w:hint="eastAsia" w:eastAsia="仿宋_GB2312"/>
                <w:bCs/>
                <w:sz w:val="24"/>
                <w:szCs w:val="24"/>
              </w:rPr>
              <w:t>顾海华，排名8，副主任医师，浙江大学医学院附属第二医院；</w:t>
            </w:r>
          </w:p>
          <w:p w14:paraId="489ED726">
            <w:pPr>
              <w:spacing w:line="440" w:lineRule="exact"/>
              <w:rPr>
                <w:rFonts w:eastAsia="仿宋_GB2312"/>
                <w:bCs/>
                <w:sz w:val="24"/>
                <w:szCs w:val="24"/>
              </w:rPr>
            </w:pPr>
            <w:r>
              <w:rPr>
                <w:rFonts w:hint="eastAsia" w:eastAsia="仿宋_GB2312"/>
                <w:bCs/>
                <w:sz w:val="24"/>
                <w:szCs w:val="24"/>
              </w:rPr>
              <w:t>陈霄科，排名9，医师，浙江大学医学院附属第二医院</w:t>
            </w:r>
          </w:p>
        </w:tc>
      </w:tr>
      <w:tr w14:paraId="02AD8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872" w:type="dxa"/>
            <w:tcBorders>
              <w:right w:val="single" w:color="auto" w:sz="4" w:space="0"/>
            </w:tcBorders>
            <w:vAlign w:val="center"/>
          </w:tcPr>
          <w:p w14:paraId="66853C20">
            <w:pPr>
              <w:spacing w:line="440" w:lineRule="exact"/>
              <w:jc w:val="center"/>
              <w:rPr>
                <w:rFonts w:eastAsia="仿宋"/>
                <w:bCs/>
                <w:sz w:val="24"/>
                <w:szCs w:val="24"/>
              </w:rPr>
            </w:pPr>
            <w:r>
              <w:rPr>
                <w:rFonts w:eastAsia="仿宋"/>
                <w:bCs/>
                <w:sz w:val="28"/>
                <w:szCs w:val="24"/>
              </w:rPr>
              <w:t>主要完成单位</w:t>
            </w:r>
          </w:p>
        </w:tc>
        <w:tc>
          <w:tcPr>
            <w:tcW w:w="6634" w:type="dxa"/>
            <w:tcBorders>
              <w:left w:val="single" w:color="auto" w:sz="4" w:space="0"/>
            </w:tcBorders>
            <w:vAlign w:val="center"/>
          </w:tcPr>
          <w:p w14:paraId="2F80FE6E">
            <w:pPr>
              <w:spacing w:line="440" w:lineRule="exact"/>
              <w:jc w:val="left"/>
              <w:rPr>
                <w:rFonts w:eastAsia="仿宋_GB2312"/>
                <w:bCs/>
                <w:sz w:val="24"/>
                <w:szCs w:val="24"/>
              </w:rPr>
            </w:pPr>
            <w:r>
              <w:rPr>
                <w:rFonts w:eastAsia="仿宋_GB2312"/>
                <w:bCs/>
                <w:sz w:val="24"/>
                <w:szCs w:val="24"/>
              </w:rPr>
              <w:t>1.单位名称：</w:t>
            </w:r>
            <w:r>
              <w:rPr>
                <w:rFonts w:hint="eastAsia" w:eastAsia="仿宋_GB2312"/>
                <w:bCs/>
                <w:sz w:val="24"/>
                <w:szCs w:val="24"/>
              </w:rPr>
              <w:t>浙江大学医学院附属第二医院</w:t>
            </w:r>
          </w:p>
        </w:tc>
      </w:tr>
      <w:tr w14:paraId="08EAD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872" w:type="dxa"/>
            <w:vAlign w:val="center"/>
          </w:tcPr>
          <w:p w14:paraId="5550C668">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634" w:type="dxa"/>
            <w:vAlign w:val="center"/>
          </w:tcPr>
          <w:p w14:paraId="16D8741B">
            <w:pPr>
              <w:contextualSpacing/>
              <w:jc w:val="center"/>
              <w:rPr>
                <w:rStyle w:val="36"/>
                <w:b w:val="0"/>
                <w:color w:val="auto"/>
              </w:rPr>
            </w:pPr>
            <w:r>
              <w:rPr>
                <w:rStyle w:val="36"/>
                <w:rFonts w:hint="eastAsia"/>
                <w:b w:val="0"/>
                <w:color w:val="auto"/>
              </w:rPr>
              <w:t>浙江大学</w:t>
            </w:r>
          </w:p>
        </w:tc>
      </w:tr>
      <w:tr w14:paraId="7904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872" w:type="dxa"/>
            <w:vAlign w:val="center"/>
          </w:tcPr>
          <w:p w14:paraId="356C013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634" w:type="dxa"/>
            <w:vAlign w:val="center"/>
          </w:tcPr>
          <w:p w14:paraId="42AC46C5">
            <w:pPr>
              <w:contextualSpacing/>
              <w:rPr>
                <w:rStyle w:val="36"/>
                <w:b w:val="0"/>
                <w:color w:val="auto"/>
              </w:rPr>
            </w:pPr>
            <w:r>
              <w:rPr>
                <w:rStyle w:val="36"/>
                <w:rFonts w:hint="eastAsia"/>
                <w:b w:val="0"/>
                <w:color w:val="auto"/>
              </w:rPr>
              <w:t>早期肺癌近年来检出率逐年增高，已成为我国恶性肿瘤防治工作的重点。目前我国肺癌防治面临结构性矛盾，突出体现为显著的医疗资源的城乡差异与区域发展不均衡。项目团队自2019年开始围绕基层医疗机构早期肺癌诊疗中的关键问题开展科研攻关，构建了以单孔胸腔镜技术为核心的早期肺癌加速康复诊疗体系，在省内多地市基层医院进行推广，显著提高了基层医疗机构早期肺癌单孔胸腔镜手术例数、缩短了基层医院早期肺癌病人的住院时间。</w:t>
            </w:r>
          </w:p>
          <w:p w14:paraId="0B7740F9">
            <w:pPr>
              <w:contextualSpacing/>
              <w:rPr>
                <w:rStyle w:val="36"/>
                <w:b w:val="0"/>
                <w:color w:val="auto"/>
              </w:rPr>
            </w:pPr>
            <w:r>
              <w:rPr>
                <w:rStyle w:val="36"/>
                <w:rFonts w:hint="eastAsia"/>
                <w:b w:val="0"/>
                <w:color w:val="auto"/>
              </w:rPr>
              <w:t>该成果对于提高基层医院早期肺癌治疗效果、降低医疗成本、改善患者生活质量具有重要意义。提名该成果为省科学技术进步二等奖。</w:t>
            </w:r>
          </w:p>
        </w:tc>
      </w:tr>
    </w:tbl>
    <w:p w14:paraId="3A45F310">
      <w:pPr>
        <w:adjustRightInd w:val="0"/>
        <w:snapToGrid w:val="0"/>
        <w:spacing w:line="560" w:lineRule="exact"/>
        <w:rPr>
          <w:rFonts w:eastAsia="仿宋_GB2312"/>
          <w:sz w:val="32"/>
          <w:szCs w:val="32"/>
        </w:rPr>
      </w:pPr>
    </w:p>
    <w:sectPr>
      <w:headerReference r:id="rId7" w:type="first"/>
      <w:headerReference r:id="rId5" w:type="default"/>
      <w:footerReference r:id="rId8" w:type="default"/>
      <w:headerReference r:id="rId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56C620-CE8D-4D60-BDE6-06F4EEEBEDB3}"/>
  </w:font>
  <w:font w:name="Arial">
    <w:panose1 w:val="020B0604020202020204"/>
    <w:charset w:val="01"/>
    <w:family w:val="swiss"/>
    <w:pitch w:val="default"/>
    <w:sig w:usb0="E0002EFF" w:usb1="C000785B" w:usb2="00000009" w:usb3="00000000" w:csb0="400001FF" w:csb1="FFFF0000"/>
    <w:embedRegular r:id="rId2" w:fontKey="{22EC5C92-6D57-4679-9D1A-AB76B7309A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B184344-8C58-4462-A394-7D9377050ADB}"/>
  </w:font>
  <w:font w:name="Symbol">
    <w:panose1 w:val="05050102010706020507"/>
    <w:charset w:val="02"/>
    <w:family w:val="roman"/>
    <w:pitch w:val="default"/>
    <w:sig w:usb0="00000000" w:usb1="00000000" w:usb2="00000000" w:usb3="00000000" w:csb0="80000000" w:csb1="00000000"/>
    <w:embedRegular r:id="rId4" w:fontKey="{866B1744-5CD6-419A-9117-E499A3ABE244}"/>
  </w:font>
  <w:font w:name="Calibri">
    <w:panose1 w:val="020F0502020204030204"/>
    <w:charset w:val="00"/>
    <w:family w:val="swiss"/>
    <w:pitch w:val="default"/>
    <w:sig w:usb0="E4002EFF" w:usb1="C000247B" w:usb2="00000009" w:usb3="00000000" w:csb0="200001FF" w:csb1="00000000"/>
    <w:embedRegular r:id="rId5" w:fontKey="{35A882D1-C521-49C6-B3DE-08994E9DADF2}"/>
  </w:font>
  <w:font w:name="Cambria">
    <w:panose1 w:val="02040503050406030204"/>
    <w:charset w:val="00"/>
    <w:family w:val="roman"/>
    <w:pitch w:val="default"/>
    <w:sig w:usb0="E00006FF" w:usb1="420024FF" w:usb2="02000000" w:usb3="00000000" w:csb0="2000019F" w:csb1="00000000"/>
    <w:embedRegular r:id="rId6" w:fontKey="{BBCB7D5D-C63F-4390-9C63-5BFCA4AB95A9}"/>
  </w:font>
  <w:font w:name="仿宋_GB2312">
    <w:panose1 w:val="02010609030101010101"/>
    <w:charset w:val="86"/>
    <w:family w:val="modern"/>
    <w:pitch w:val="default"/>
    <w:sig w:usb0="00000001" w:usb1="080E0000" w:usb2="00000000" w:usb3="00000000" w:csb0="00040000" w:csb1="00000000"/>
    <w:embedRegular r:id="rId7" w:fontKey="{EB92C340-928D-4810-B724-DFB1A034589E}"/>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A00002BF" w:usb1="184F6CFA" w:usb2="00000012" w:usb3="00000000" w:csb0="00040001" w:csb1="00000000"/>
    <w:embedRegular r:id="rId8" w:fontKey="{CA59F0CA-CBE7-45B0-8249-22D2651183C0}"/>
  </w:font>
  <w:font w:name="仿宋">
    <w:panose1 w:val="02010609060101010101"/>
    <w:charset w:val="86"/>
    <w:family w:val="modern"/>
    <w:pitch w:val="default"/>
    <w:sig w:usb0="800002BF" w:usb1="38CF7CFA" w:usb2="00000016" w:usb3="00000000" w:csb0="00040001" w:csb1="00000000"/>
    <w:embedRegular r:id="rId9" w:fontKey="{3133CD24-2B0C-467D-A93F-98CE5F967E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5B22BDE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AFD8">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A2905">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F4DE">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CD1B73"/>
    <w:multiLevelType w:val="multilevel"/>
    <w:tmpl w:val="50CD1B7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9A5"/>
    <w:rsid w:val="00053F24"/>
    <w:rsid w:val="000549D0"/>
    <w:rsid w:val="0006546D"/>
    <w:rsid w:val="00067E32"/>
    <w:rsid w:val="00083906"/>
    <w:rsid w:val="000847FC"/>
    <w:rsid w:val="000929AE"/>
    <w:rsid w:val="00097BF3"/>
    <w:rsid w:val="000A0FE4"/>
    <w:rsid w:val="000B2E39"/>
    <w:rsid w:val="000B70B3"/>
    <w:rsid w:val="000C632A"/>
    <w:rsid w:val="000D0011"/>
    <w:rsid w:val="000E5D74"/>
    <w:rsid w:val="000F1229"/>
    <w:rsid w:val="000F2CC3"/>
    <w:rsid w:val="000F6066"/>
    <w:rsid w:val="000F6517"/>
    <w:rsid w:val="000F6B39"/>
    <w:rsid w:val="000F7732"/>
    <w:rsid w:val="001039E9"/>
    <w:rsid w:val="00104F03"/>
    <w:rsid w:val="00105711"/>
    <w:rsid w:val="0012430D"/>
    <w:rsid w:val="001435CC"/>
    <w:rsid w:val="00153E23"/>
    <w:rsid w:val="00154376"/>
    <w:rsid w:val="001553CE"/>
    <w:rsid w:val="001614FC"/>
    <w:rsid w:val="0016168D"/>
    <w:rsid w:val="001620F4"/>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E2432"/>
    <w:rsid w:val="001F032B"/>
    <w:rsid w:val="001F2C76"/>
    <w:rsid w:val="001F7F40"/>
    <w:rsid w:val="00212129"/>
    <w:rsid w:val="00213CE9"/>
    <w:rsid w:val="0021734C"/>
    <w:rsid w:val="00223048"/>
    <w:rsid w:val="002242B0"/>
    <w:rsid w:val="002247F4"/>
    <w:rsid w:val="00230FE9"/>
    <w:rsid w:val="0023223F"/>
    <w:rsid w:val="0023390F"/>
    <w:rsid w:val="00244749"/>
    <w:rsid w:val="00247A49"/>
    <w:rsid w:val="00251808"/>
    <w:rsid w:val="002579D1"/>
    <w:rsid w:val="002745F8"/>
    <w:rsid w:val="002772FB"/>
    <w:rsid w:val="00283031"/>
    <w:rsid w:val="0029509E"/>
    <w:rsid w:val="002954F6"/>
    <w:rsid w:val="00296134"/>
    <w:rsid w:val="002A2925"/>
    <w:rsid w:val="002A7955"/>
    <w:rsid w:val="002B3198"/>
    <w:rsid w:val="002C6803"/>
    <w:rsid w:val="002C6E65"/>
    <w:rsid w:val="002D1FA7"/>
    <w:rsid w:val="002D3BA3"/>
    <w:rsid w:val="002E42A8"/>
    <w:rsid w:val="002E43DB"/>
    <w:rsid w:val="002F1911"/>
    <w:rsid w:val="002F74D2"/>
    <w:rsid w:val="00303101"/>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326"/>
    <w:rsid w:val="003A343A"/>
    <w:rsid w:val="003A466E"/>
    <w:rsid w:val="003A5D0E"/>
    <w:rsid w:val="003A60A7"/>
    <w:rsid w:val="003B0906"/>
    <w:rsid w:val="003B2A50"/>
    <w:rsid w:val="003B3345"/>
    <w:rsid w:val="003C1234"/>
    <w:rsid w:val="003C4124"/>
    <w:rsid w:val="003D39F8"/>
    <w:rsid w:val="003E6BFB"/>
    <w:rsid w:val="003F0278"/>
    <w:rsid w:val="003F1E9D"/>
    <w:rsid w:val="003F76A0"/>
    <w:rsid w:val="00401E30"/>
    <w:rsid w:val="00405E88"/>
    <w:rsid w:val="004179C8"/>
    <w:rsid w:val="0042367A"/>
    <w:rsid w:val="00427A6E"/>
    <w:rsid w:val="004300EE"/>
    <w:rsid w:val="00442705"/>
    <w:rsid w:val="004428E1"/>
    <w:rsid w:val="00443857"/>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E7233"/>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9269B"/>
    <w:rsid w:val="00595A36"/>
    <w:rsid w:val="005A0877"/>
    <w:rsid w:val="005A17EC"/>
    <w:rsid w:val="005A1A1D"/>
    <w:rsid w:val="005A485B"/>
    <w:rsid w:val="005A6276"/>
    <w:rsid w:val="005A6B7D"/>
    <w:rsid w:val="005B5550"/>
    <w:rsid w:val="005B65F0"/>
    <w:rsid w:val="005C290B"/>
    <w:rsid w:val="005D2A14"/>
    <w:rsid w:val="005D36E9"/>
    <w:rsid w:val="005E0059"/>
    <w:rsid w:val="005E261D"/>
    <w:rsid w:val="005E49A6"/>
    <w:rsid w:val="005E6D32"/>
    <w:rsid w:val="005F0DC8"/>
    <w:rsid w:val="005F2AAC"/>
    <w:rsid w:val="00600FA4"/>
    <w:rsid w:val="00605720"/>
    <w:rsid w:val="00611BDC"/>
    <w:rsid w:val="006177DC"/>
    <w:rsid w:val="00623BD2"/>
    <w:rsid w:val="00626265"/>
    <w:rsid w:val="006269F8"/>
    <w:rsid w:val="00642EBC"/>
    <w:rsid w:val="00643B2E"/>
    <w:rsid w:val="00646AD1"/>
    <w:rsid w:val="006546AC"/>
    <w:rsid w:val="00670053"/>
    <w:rsid w:val="00673E71"/>
    <w:rsid w:val="006823DB"/>
    <w:rsid w:val="00692309"/>
    <w:rsid w:val="00694DDB"/>
    <w:rsid w:val="006A1E31"/>
    <w:rsid w:val="006A390F"/>
    <w:rsid w:val="006A580A"/>
    <w:rsid w:val="006B34CD"/>
    <w:rsid w:val="006C528F"/>
    <w:rsid w:val="006C691E"/>
    <w:rsid w:val="006C6CA7"/>
    <w:rsid w:val="006D59C3"/>
    <w:rsid w:val="006D7F80"/>
    <w:rsid w:val="006E4386"/>
    <w:rsid w:val="006E5310"/>
    <w:rsid w:val="006F0C81"/>
    <w:rsid w:val="006F5EED"/>
    <w:rsid w:val="006F7780"/>
    <w:rsid w:val="007116D0"/>
    <w:rsid w:val="00715FC4"/>
    <w:rsid w:val="00722DD6"/>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2E18"/>
    <w:rsid w:val="007F5A15"/>
    <w:rsid w:val="0080157D"/>
    <w:rsid w:val="00805021"/>
    <w:rsid w:val="00813788"/>
    <w:rsid w:val="0082227E"/>
    <w:rsid w:val="00822B10"/>
    <w:rsid w:val="00823F06"/>
    <w:rsid w:val="008300CF"/>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66A35"/>
    <w:rsid w:val="008706BC"/>
    <w:rsid w:val="00872CCF"/>
    <w:rsid w:val="0088681E"/>
    <w:rsid w:val="00890A44"/>
    <w:rsid w:val="00891D78"/>
    <w:rsid w:val="00891DDA"/>
    <w:rsid w:val="00894724"/>
    <w:rsid w:val="008A09D1"/>
    <w:rsid w:val="008A37FE"/>
    <w:rsid w:val="008B5F0B"/>
    <w:rsid w:val="008B78AD"/>
    <w:rsid w:val="008C1E93"/>
    <w:rsid w:val="008C37F3"/>
    <w:rsid w:val="008C5BE5"/>
    <w:rsid w:val="008C7FED"/>
    <w:rsid w:val="0090595F"/>
    <w:rsid w:val="0090670A"/>
    <w:rsid w:val="00906781"/>
    <w:rsid w:val="00910D0E"/>
    <w:rsid w:val="00911330"/>
    <w:rsid w:val="009211BA"/>
    <w:rsid w:val="00922838"/>
    <w:rsid w:val="009339E2"/>
    <w:rsid w:val="009362EB"/>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86862"/>
    <w:rsid w:val="0099291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6C9"/>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29C0"/>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14DC"/>
    <w:rsid w:val="00B73F27"/>
    <w:rsid w:val="00B74C14"/>
    <w:rsid w:val="00B92BAD"/>
    <w:rsid w:val="00B9520A"/>
    <w:rsid w:val="00B979F5"/>
    <w:rsid w:val="00BA07A7"/>
    <w:rsid w:val="00BA3056"/>
    <w:rsid w:val="00BB47F3"/>
    <w:rsid w:val="00BC0513"/>
    <w:rsid w:val="00BD0ED0"/>
    <w:rsid w:val="00BE13D8"/>
    <w:rsid w:val="00BE7259"/>
    <w:rsid w:val="00C10571"/>
    <w:rsid w:val="00C14B11"/>
    <w:rsid w:val="00C24E7B"/>
    <w:rsid w:val="00C36E42"/>
    <w:rsid w:val="00C51DAF"/>
    <w:rsid w:val="00C52425"/>
    <w:rsid w:val="00C555AC"/>
    <w:rsid w:val="00C56CDE"/>
    <w:rsid w:val="00C5764E"/>
    <w:rsid w:val="00C64274"/>
    <w:rsid w:val="00C65487"/>
    <w:rsid w:val="00C65987"/>
    <w:rsid w:val="00C70276"/>
    <w:rsid w:val="00C74F01"/>
    <w:rsid w:val="00C83D98"/>
    <w:rsid w:val="00C87EB0"/>
    <w:rsid w:val="00C9140D"/>
    <w:rsid w:val="00C92139"/>
    <w:rsid w:val="00C94906"/>
    <w:rsid w:val="00CA0830"/>
    <w:rsid w:val="00CA08E7"/>
    <w:rsid w:val="00CA0BB3"/>
    <w:rsid w:val="00CA21F2"/>
    <w:rsid w:val="00CB7617"/>
    <w:rsid w:val="00CC2CF9"/>
    <w:rsid w:val="00CC55CE"/>
    <w:rsid w:val="00CD3458"/>
    <w:rsid w:val="00CE7048"/>
    <w:rsid w:val="00CF0ED4"/>
    <w:rsid w:val="00CF10A0"/>
    <w:rsid w:val="00CF4883"/>
    <w:rsid w:val="00D043A5"/>
    <w:rsid w:val="00D06294"/>
    <w:rsid w:val="00D16C9A"/>
    <w:rsid w:val="00D170C8"/>
    <w:rsid w:val="00D20CA5"/>
    <w:rsid w:val="00D22F7F"/>
    <w:rsid w:val="00D23039"/>
    <w:rsid w:val="00D27104"/>
    <w:rsid w:val="00D349E7"/>
    <w:rsid w:val="00D35DA8"/>
    <w:rsid w:val="00D41A51"/>
    <w:rsid w:val="00D456D9"/>
    <w:rsid w:val="00D4719D"/>
    <w:rsid w:val="00D47863"/>
    <w:rsid w:val="00D51301"/>
    <w:rsid w:val="00D619CB"/>
    <w:rsid w:val="00D66E92"/>
    <w:rsid w:val="00D75966"/>
    <w:rsid w:val="00D76DA8"/>
    <w:rsid w:val="00D76EB9"/>
    <w:rsid w:val="00D8017D"/>
    <w:rsid w:val="00D97840"/>
    <w:rsid w:val="00DC0F80"/>
    <w:rsid w:val="00DC1C67"/>
    <w:rsid w:val="00DD7D0E"/>
    <w:rsid w:val="00DF02D4"/>
    <w:rsid w:val="00DF2AD8"/>
    <w:rsid w:val="00DF7FCB"/>
    <w:rsid w:val="00E066BD"/>
    <w:rsid w:val="00E156D8"/>
    <w:rsid w:val="00E1736F"/>
    <w:rsid w:val="00E17FF5"/>
    <w:rsid w:val="00E26009"/>
    <w:rsid w:val="00E3162A"/>
    <w:rsid w:val="00E37C85"/>
    <w:rsid w:val="00E407C9"/>
    <w:rsid w:val="00E46BD6"/>
    <w:rsid w:val="00E51432"/>
    <w:rsid w:val="00E5280E"/>
    <w:rsid w:val="00E5401A"/>
    <w:rsid w:val="00E55EDB"/>
    <w:rsid w:val="00E56172"/>
    <w:rsid w:val="00E60002"/>
    <w:rsid w:val="00E61DA8"/>
    <w:rsid w:val="00E63C4E"/>
    <w:rsid w:val="00E6499F"/>
    <w:rsid w:val="00E730DF"/>
    <w:rsid w:val="00E74D76"/>
    <w:rsid w:val="00E754A7"/>
    <w:rsid w:val="00E81909"/>
    <w:rsid w:val="00E82678"/>
    <w:rsid w:val="00E83D4E"/>
    <w:rsid w:val="00E84A18"/>
    <w:rsid w:val="00E84C25"/>
    <w:rsid w:val="00E84FF9"/>
    <w:rsid w:val="00E93BC2"/>
    <w:rsid w:val="00EA7020"/>
    <w:rsid w:val="00EB2FD4"/>
    <w:rsid w:val="00EB7300"/>
    <w:rsid w:val="00EC5664"/>
    <w:rsid w:val="00EE0CE1"/>
    <w:rsid w:val="00EE1078"/>
    <w:rsid w:val="00EF79B0"/>
    <w:rsid w:val="00F024DB"/>
    <w:rsid w:val="00F108B2"/>
    <w:rsid w:val="00F143B1"/>
    <w:rsid w:val="00F1451E"/>
    <w:rsid w:val="00F23CF0"/>
    <w:rsid w:val="00F3777D"/>
    <w:rsid w:val="00F45942"/>
    <w:rsid w:val="00F45AE1"/>
    <w:rsid w:val="00F5192E"/>
    <w:rsid w:val="00F53F01"/>
    <w:rsid w:val="00F57A7E"/>
    <w:rsid w:val="00F57D63"/>
    <w:rsid w:val="00F640B5"/>
    <w:rsid w:val="00F67176"/>
    <w:rsid w:val="00F711B9"/>
    <w:rsid w:val="00F765BA"/>
    <w:rsid w:val="00F81F40"/>
    <w:rsid w:val="00F90DFB"/>
    <w:rsid w:val="00F91089"/>
    <w:rsid w:val="00F94DE6"/>
    <w:rsid w:val="00F97601"/>
    <w:rsid w:val="00FA33E4"/>
    <w:rsid w:val="00FB0D99"/>
    <w:rsid w:val="00FB237A"/>
    <w:rsid w:val="00FB27A0"/>
    <w:rsid w:val="00FB523A"/>
    <w:rsid w:val="00FB5471"/>
    <w:rsid w:val="00FB606D"/>
    <w:rsid w:val="00FC0723"/>
    <w:rsid w:val="00FC1058"/>
    <w:rsid w:val="00FC18D8"/>
    <w:rsid w:val="00FC7BB3"/>
    <w:rsid w:val="00FC7D4F"/>
    <w:rsid w:val="00FD0CCE"/>
    <w:rsid w:val="00FD26B0"/>
    <w:rsid w:val="00FE48C9"/>
    <w:rsid w:val="00FE69B2"/>
    <w:rsid w:val="00FF48B9"/>
    <w:rsid w:val="00FF49EB"/>
    <w:rsid w:val="01680748"/>
    <w:rsid w:val="01A3073B"/>
    <w:rsid w:val="01FB06A5"/>
    <w:rsid w:val="02883661"/>
    <w:rsid w:val="033A18A1"/>
    <w:rsid w:val="04A9605B"/>
    <w:rsid w:val="059144E1"/>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Revision"/>
    <w:hidden/>
    <w:unhideWhenUsed/>
    <w:qFormat/>
    <w:uiPriority w:val="99"/>
    <w:pPr>
      <w:spacing w:after="0" w:line="240" w:lineRule="auto"/>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983</Words>
  <Characters>2415</Characters>
  <Lines>303</Lines>
  <Paragraphs>127</Paragraphs>
  <TotalTime>139</TotalTime>
  <ScaleCrop>false</ScaleCrop>
  <LinksUpToDate>false</LinksUpToDate>
  <CharactersWithSpaces>2772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2025-09-10T01:09:00Z</dcterms:created>
  <dc:creator>胡胜链</dc:creator>
  <cp:lastModifiedBy>葛格</cp:lastModifiedBy>
  <cp:lastPrinted>2022-01-28T09:53:00Z</cp:lastPrinted>
  <dcterms:modified xsi:type="dcterms:W3CDTF">2025-09-16T02:00:26Z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9809E5F300B8477CA39BA0CE01A232E7_13</vt:lpwstr>
  </property>
</Properties>
</file>