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658FA">
      <w:pPr>
        <w:jc w:val="center"/>
        <w:rPr>
          <w:rStyle w:val="11"/>
          <w:rFonts w:eastAsia="方正小标宋简体"/>
          <w:bCs w:val="0"/>
          <w:color w:val="auto"/>
          <w:sz w:val="36"/>
          <w:szCs w:val="36"/>
        </w:rPr>
      </w:pPr>
      <w:bookmarkStart w:id="0" w:name="_GoBack"/>
      <w:bookmarkEnd w:id="0"/>
      <w:r>
        <w:rPr>
          <w:rStyle w:val="11"/>
          <w:rFonts w:eastAsia="方正小标宋简体"/>
          <w:color w:val="auto"/>
          <w:sz w:val="36"/>
          <w:szCs w:val="36"/>
        </w:rPr>
        <w:t>自然资源科学技术奖公示信息表（单位推荐）</w:t>
      </w:r>
    </w:p>
    <w:p w14:paraId="6A7E647E">
      <w:pPr>
        <w:spacing w:line="440" w:lineRule="exact"/>
        <w:rPr>
          <w:rFonts w:eastAsia="仿宋_GB2312"/>
          <w:sz w:val="28"/>
          <w:szCs w:val="24"/>
        </w:rPr>
      </w:pPr>
      <w:r>
        <w:rPr>
          <w:rFonts w:eastAsia="仿宋_GB2312"/>
          <w:sz w:val="28"/>
          <w:szCs w:val="24"/>
        </w:rPr>
        <w:t>提名奖项：（科学技术进步奖）</w:t>
      </w:r>
    </w:p>
    <w:tbl>
      <w:tblPr>
        <w:tblStyle w:val="6"/>
        <w:tblW w:w="8676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6520"/>
      </w:tblGrid>
      <w:tr w14:paraId="0EE39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156" w:type="dxa"/>
            <w:vAlign w:val="center"/>
          </w:tcPr>
          <w:p w14:paraId="6E24ED4D">
            <w:pPr>
              <w:jc w:val="center"/>
              <w:rPr>
                <w:rStyle w:val="11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11"/>
                <w:rFonts w:eastAsia="仿宋_GB2312"/>
                <w:color w:val="auto"/>
                <w:sz w:val="28"/>
              </w:rPr>
              <w:t>成果名称</w:t>
            </w:r>
          </w:p>
        </w:tc>
        <w:tc>
          <w:tcPr>
            <w:tcW w:w="6520" w:type="dxa"/>
            <w:vAlign w:val="center"/>
          </w:tcPr>
          <w:p w14:paraId="74CA02B9">
            <w:pPr>
              <w:jc w:val="center"/>
              <w:rPr>
                <w:rStyle w:val="11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11"/>
                <w:rFonts w:hint="eastAsia" w:eastAsia="仿宋_GB2312"/>
                <w:b w:val="0"/>
                <w:color w:val="auto"/>
                <w:sz w:val="28"/>
              </w:rPr>
              <w:t>数智化国土空间治理的理论创新、关键技术与应用示范</w:t>
            </w:r>
          </w:p>
        </w:tc>
      </w:tr>
      <w:tr w14:paraId="4D3FE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156" w:type="dxa"/>
            <w:vAlign w:val="center"/>
          </w:tcPr>
          <w:p w14:paraId="1FD6C4BB">
            <w:pPr>
              <w:jc w:val="center"/>
              <w:rPr>
                <w:rStyle w:val="11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11"/>
                <w:rFonts w:eastAsia="仿宋_GB2312"/>
                <w:color w:val="auto"/>
                <w:sz w:val="28"/>
              </w:rPr>
              <w:t>提名等级</w:t>
            </w:r>
          </w:p>
        </w:tc>
        <w:tc>
          <w:tcPr>
            <w:tcW w:w="6520" w:type="dxa"/>
            <w:vAlign w:val="center"/>
          </w:tcPr>
          <w:p w14:paraId="0854C51A">
            <w:pPr>
              <w:jc w:val="center"/>
              <w:rPr>
                <w:rStyle w:val="11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11"/>
                <w:rFonts w:hint="eastAsia" w:eastAsia="仿宋_GB2312"/>
                <w:b w:val="0"/>
                <w:color w:val="auto"/>
                <w:sz w:val="28"/>
              </w:rPr>
              <w:t>一等奖或二等奖</w:t>
            </w:r>
          </w:p>
        </w:tc>
      </w:tr>
      <w:tr w14:paraId="71C4A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156" w:type="dxa"/>
            <w:vAlign w:val="center"/>
          </w:tcPr>
          <w:p w14:paraId="222A9FE0">
            <w:pPr>
              <w:jc w:val="center"/>
              <w:rPr>
                <w:rStyle w:val="11"/>
                <w:rFonts w:eastAsia="仿宋_GB2312"/>
                <w:color w:val="auto"/>
                <w:sz w:val="28"/>
              </w:rPr>
            </w:pPr>
            <w:r>
              <w:rPr>
                <w:rStyle w:val="11"/>
                <w:rFonts w:hint="eastAsia" w:eastAsia="仿宋_GB2312"/>
                <w:color w:val="auto"/>
                <w:sz w:val="28"/>
              </w:rPr>
              <w:t>成果简介</w:t>
            </w:r>
          </w:p>
        </w:tc>
        <w:tc>
          <w:tcPr>
            <w:tcW w:w="6520" w:type="dxa"/>
            <w:vAlign w:val="center"/>
          </w:tcPr>
          <w:p w14:paraId="3EE81966">
            <w:pPr>
              <w:spacing w:line="440" w:lineRule="exact"/>
              <w:ind w:firstLine="480" w:firstLine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新发展阶段，国土空间治理由单一要素配置和用途管控转向统筹发展、安全、生态与治理效能的复杂系统治理。遥感、大数据、人工智能和空间计算深度进入自然资源管理，治理对象呈现关联网络化、演化动态化、任务综合化特征，传统静态评价、分散管理和经验判断已难以满足规划决策与实施监管需求。本成果面向国家空间治理现代化与自然资源管理数智化转型，围绕复杂国土空间认知、推演与治理开展理论、技术和应用研究，形成贯通理论、技术与业务应用的数智化国土空间治理体系。</w:t>
            </w:r>
          </w:p>
          <w:p w14:paraId="0D993E2B">
            <w:pPr>
              <w:spacing w:line="440" w:lineRule="exact"/>
              <w:ind w:firstLine="480" w:firstLine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一是重构数智时代国土空间治理理论。构建安全国土、效率国土、公平国土、美丽国土、善治国土协同的价值框架，统筹保护、开发、协调、品质与治理效能；提出“空间即过程、网络即组织、关系即传导”的数智化建构逻辑，将要素流动、网络联系和跨尺度作用纳入国土空间认知；形成“空间锚定、三融五跨、场景融通”的整体转型架构，拓展国土空间规划与自然资源治理的理论基础。</w:t>
            </w:r>
          </w:p>
          <w:p w14:paraId="1ACD3089">
            <w:pPr>
              <w:spacing w:line="440" w:lineRule="exact"/>
              <w:ind w:firstLine="480" w:firstLine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二是形成智能感知、模拟推演与数字化管控关键技术。融合遥感、无人机、数字高程、人口活动、夜间灯光、街景影像和互联网文本等多源数据，形成空间感知与动态诊断技术；综合空间网络、机器学习、</w:t>
            </w:r>
            <w:r>
              <w:rPr>
                <w:rFonts w:eastAsia="仿宋_GB2312"/>
                <w:bCs/>
                <w:sz w:val="24"/>
                <w:szCs w:val="24"/>
              </w:rPr>
              <w:t>Markov-FLUS</w:t>
            </w:r>
            <w:r>
              <w:rPr>
                <w:rFonts w:hint="eastAsia" w:eastAsia="仿宋_GB2312"/>
                <w:bCs/>
                <w:sz w:val="24"/>
                <w:szCs w:val="24"/>
              </w:rPr>
              <w:t>、元胞自动机—主体模型等方法，建立空间关系分析和多情景模拟推演技术，并探索大模型与地理空间分析协同；面向规划实施和全域土地综合整治，形成整治潜力评价、全过程监测、数据质检等数字化管控技术。</w:t>
            </w:r>
          </w:p>
          <w:p w14:paraId="4D20D69C">
            <w:pPr>
              <w:spacing w:line="440" w:lineRule="exact"/>
              <w:ind w:firstLine="480" w:firstLine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三是构建空间码贯通、一张图协同、全域整治集成的数智治理应用技术体系。建立空间码全生命周期关联技术，实现治理对象统一锚定、状态持续关联和任务映射；以国土空间“一张图”为统一实施载体，贯通规划编制、成果审查、实施监管和动态反馈；将空间码和“一张图”能力集成到全域土地综合整治，形成整治单元诊断、方案校核和省域多项目全过程协同管控技术。</w:t>
            </w:r>
          </w:p>
          <w:p w14:paraId="51472F12">
            <w:pPr>
              <w:spacing w:line="440" w:lineRule="exact"/>
              <w:ind w:firstLine="480" w:firstLine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成果已服务国家国土空间规划技术体系建设和“双评价”等技术指南及重大规划实践。国土空间规划实施监测评估及“一张图”相关系统自</w:t>
            </w:r>
            <w:r>
              <w:rPr>
                <w:rFonts w:eastAsia="仿宋_GB2312"/>
                <w:bCs/>
                <w:sz w:val="24"/>
                <w:szCs w:val="24"/>
              </w:rPr>
              <w:t>2018</w:t>
            </w:r>
            <w:r>
              <w:rPr>
                <w:rFonts w:hint="eastAsia" w:eastAsia="仿宋_GB2312"/>
                <w:bCs/>
                <w:sz w:val="24"/>
                <w:szCs w:val="24"/>
              </w:rPr>
              <w:t>年起形成部级项目应用，并在浙江、山东、四川、河北等省推广；在浙江覆盖</w:t>
            </w:r>
            <w:r>
              <w:rPr>
                <w:rFonts w:eastAsia="仿宋_GB2312"/>
                <w:bCs/>
                <w:sz w:val="24"/>
                <w:szCs w:val="24"/>
              </w:rPr>
              <w:t>87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个县级自然资源管理单元，支撑</w:t>
            </w:r>
            <w:r>
              <w:rPr>
                <w:rFonts w:eastAsia="仿宋_GB2312"/>
                <w:bCs/>
                <w:sz w:val="24"/>
                <w:szCs w:val="24"/>
              </w:rPr>
              <w:t>1055</w:t>
            </w:r>
            <w:r>
              <w:rPr>
                <w:rFonts w:hint="eastAsia" w:eastAsia="仿宋_GB2312"/>
                <w:bCs/>
                <w:sz w:val="24"/>
                <w:szCs w:val="24"/>
              </w:rPr>
              <w:t>项国土空间整治工程，并拓展至“一地一码”、生态修复监管、自然资源评估预警等场景。新增应用材料进一步表明，部级国土空间规划实施监测评估系统</w:t>
            </w:r>
            <w:r>
              <w:rPr>
                <w:rFonts w:eastAsia="仿宋_GB2312"/>
                <w:bCs/>
                <w:sz w:val="24"/>
                <w:szCs w:val="24"/>
              </w:rPr>
              <w:t>2018</w:t>
            </w:r>
            <w:r>
              <w:rPr>
                <w:rFonts w:hint="eastAsia" w:eastAsia="仿宋_GB2312"/>
                <w:bCs/>
                <w:sz w:val="24"/>
                <w:szCs w:val="24"/>
              </w:rPr>
              <w:t>年启动建设、</w:t>
            </w:r>
            <w:r>
              <w:rPr>
                <w:rFonts w:eastAsia="仿宋_GB2312"/>
                <w:bCs/>
                <w:sz w:val="24"/>
                <w:szCs w:val="24"/>
              </w:rPr>
              <w:t>2019</w:t>
            </w:r>
            <w:r>
              <w:rPr>
                <w:rFonts w:hint="eastAsia" w:eastAsia="仿宋_GB2312"/>
                <w:bCs/>
                <w:sz w:val="24"/>
                <w:szCs w:val="24"/>
              </w:rPr>
              <w:t>年通过验收，山东、浙江、四川、河北等省级“一张图”系统随后形成连续应用，增强了成果跨层级、跨区域推广的客观支撑。</w:t>
            </w:r>
          </w:p>
          <w:p w14:paraId="61713BC5">
            <w:pPr>
              <w:spacing w:line="440" w:lineRule="exact"/>
              <w:ind w:firstLine="480" w:firstLineChars="200"/>
              <w:rPr>
                <w:rStyle w:val="11"/>
                <w:rFonts w:eastAsia="仿宋_GB2312"/>
                <w:b w:val="0"/>
                <w:color w:val="auto"/>
                <w:sz w:val="28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相关实践累计盘活农村闲置土地</w:t>
            </w:r>
            <w:r>
              <w:rPr>
                <w:rFonts w:eastAsia="仿宋_GB2312"/>
                <w:bCs/>
                <w:sz w:val="24"/>
                <w:szCs w:val="24"/>
              </w:rPr>
              <w:t>2.1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万亩、优化城镇低效用地</w:t>
            </w:r>
            <w:r>
              <w:rPr>
                <w:rFonts w:eastAsia="仿宋_GB2312"/>
                <w:bCs/>
                <w:sz w:val="24"/>
                <w:szCs w:val="24"/>
              </w:rPr>
              <w:t>12.6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万亩、完成建设用地复垦整治</w:t>
            </w:r>
            <w:r>
              <w:rPr>
                <w:rFonts w:eastAsia="仿宋_GB2312"/>
                <w:bCs/>
                <w:sz w:val="24"/>
                <w:szCs w:val="24"/>
              </w:rPr>
              <w:t>13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万亩，实现增减挂钩节余指标跨县域调剂</w:t>
            </w:r>
            <w:r>
              <w:rPr>
                <w:rFonts w:eastAsia="仿宋_GB2312"/>
                <w:bCs/>
                <w:sz w:val="24"/>
                <w:szCs w:val="24"/>
              </w:rPr>
              <w:t>1.6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万余亩；推动</w:t>
            </w:r>
            <w:r>
              <w:rPr>
                <w:rFonts w:eastAsia="仿宋_GB2312"/>
                <w:bCs/>
                <w:sz w:val="24"/>
                <w:szCs w:val="24"/>
              </w:rPr>
              <w:t>601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个集体经济薄弱村转型发展，项目区农民人均可支配收入提高约</w:t>
            </w:r>
            <w:r>
              <w:rPr>
                <w:rFonts w:eastAsia="仿宋_GB2312"/>
                <w:bCs/>
                <w:sz w:val="24"/>
                <w:szCs w:val="24"/>
              </w:rPr>
              <w:t>1900</w:t>
            </w:r>
            <w:r>
              <w:rPr>
                <w:rFonts w:hint="eastAsia" w:eastAsia="仿宋_GB2312"/>
                <w:bCs/>
                <w:sz w:val="24"/>
                <w:szCs w:val="24"/>
              </w:rPr>
              <w:t>元。成果累计发表高水平论文</w:t>
            </w:r>
            <w:r>
              <w:rPr>
                <w:rFonts w:eastAsia="仿宋_GB2312"/>
                <w:bCs/>
                <w:sz w:val="24"/>
                <w:szCs w:val="24"/>
              </w:rPr>
              <w:t>50</w:t>
            </w:r>
            <w:r>
              <w:rPr>
                <w:rFonts w:hint="eastAsia" w:eastAsia="仿宋_GB2312"/>
                <w:bCs/>
                <w:sz w:val="24"/>
                <w:szCs w:val="24"/>
              </w:rPr>
              <w:t>余篇、出版专著</w:t>
            </w:r>
            <w:r>
              <w:rPr>
                <w:rFonts w:eastAsia="仿宋_GB2312"/>
                <w:bCs/>
                <w:sz w:val="24"/>
                <w:szCs w:val="24"/>
              </w:rPr>
              <w:t>6</w:t>
            </w:r>
            <w:r>
              <w:rPr>
                <w:rFonts w:hint="eastAsia" w:eastAsia="仿宋_GB2312"/>
                <w:bCs/>
                <w:sz w:val="24"/>
                <w:szCs w:val="24"/>
              </w:rPr>
              <w:t>部，形成系列发明专利、软件著作权和技术标准，多项核心技术及平台获地理信息科技进步奖一等奖等科技奖励。成果为国土空间规划科学决策、实施监督、全域土地综合整治和自然资源精细化治理提供系统科技支撑，具有较强的应用基础和行业推广价值。</w:t>
            </w:r>
          </w:p>
        </w:tc>
      </w:tr>
      <w:tr w14:paraId="73E87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</w:trPr>
        <w:tc>
          <w:tcPr>
            <w:tcW w:w="2156" w:type="dxa"/>
            <w:vAlign w:val="center"/>
          </w:tcPr>
          <w:p w14:paraId="528C0ECB">
            <w:pPr>
              <w:spacing w:line="440" w:lineRule="exact"/>
              <w:jc w:val="center"/>
              <w:rPr>
                <w:rFonts w:eastAsia="仿宋_GB2312"/>
                <w:b/>
                <w:sz w:val="28"/>
                <w:szCs w:val="24"/>
              </w:rPr>
            </w:pPr>
            <w:r>
              <w:rPr>
                <w:rFonts w:eastAsia="仿宋_GB2312"/>
                <w:b/>
                <w:sz w:val="28"/>
                <w:szCs w:val="24"/>
              </w:rPr>
              <w:t>提名书</w:t>
            </w:r>
          </w:p>
          <w:p w14:paraId="5E4A7137">
            <w:pPr>
              <w:spacing w:line="440" w:lineRule="exact"/>
              <w:jc w:val="center"/>
              <w:rPr>
                <w:rFonts w:eastAsia="仿宋_GB2312"/>
                <w:b/>
                <w:sz w:val="28"/>
                <w:szCs w:val="24"/>
              </w:rPr>
            </w:pPr>
            <w:r>
              <w:rPr>
                <w:rFonts w:eastAsia="仿宋_GB2312"/>
                <w:b/>
                <w:sz w:val="28"/>
                <w:szCs w:val="24"/>
              </w:rPr>
              <w:t>相关内容</w:t>
            </w:r>
          </w:p>
          <w:p w14:paraId="1A1355F2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hint="eastAsia" w:eastAsia="仿宋_GB2312"/>
                <w:b/>
                <w:sz w:val="28"/>
                <w:szCs w:val="24"/>
              </w:rPr>
              <w:t>（附表）</w:t>
            </w:r>
          </w:p>
        </w:tc>
        <w:tc>
          <w:tcPr>
            <w:tcW w:w="6520" w:type="dxa"/>
          </w:tcPr>
          <w:p w14:paraId="2BE24329">
            <w:pPr>
              <w:widowControl/>
              <w:spacing w:line="440" w:lineRule="exact"/>
              <w:ind w:firstLine="482" w:firstLine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b/>
                <w:bCs/>
                <w:sz w:val="24"/>
                <w:szCs w:val="24"/>
              </w:rPr>
              <w:t>主要知识产权和标准规范目录：</w:t>
            </w:r>
          </w:p>
          <w:p w14:paraId="4EF6E1D9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1、国家标准，国土空间规划“一张图”实施监督信息系统技术规范，中国，GB/T 39972-2021，2021-03-09，全国自然资源与国土空间规划标准化技术委员会，上海数慧参编，有效；</w:t>
            </w:r>
          </w:p>
          <w:p w14:paraId="7EE61814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2、计算机软件著作权，数慧国土空间治理数字化平台软件V1.0，中国，2021SR2228192，2021-12-30，软著登字第8950818号，上海数慧，有效；</w:t>
            </w:r>
          </w:p>
          <w:p w14:paraId="7AC5D343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3、发明专利，业务信息处理方法和装置，中国，ZL202110858996.X，2024-07-30，上海数慧，杜秀清、罗亚、王亮亮等，有效；</w:t>
            </w:r>
          </w:p>
          <w:p w14:paraId="00ADD41B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4、计算机软件著作权，数慧一地一码协同服务软件V1.0，中国，2021SR2228098，2021-07-16，软著登字第8950724号，上海数慧，有效；</w:t>
            </w:r>
          </w:p>
          <w:p w14:paraId="5CD0D845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5、团体标准，土地资源“一码关联”服务技术规范，中国，T/SDAS 561-2023，2023-02-01，山东标准化协会，上海数慧参编，有效；</w:t>
            </w:r>
          </w:p>
          <w:p w14:paraId="430DE7C7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6、计算机软件著作权，数慧国土空间规划“一张图”实施监督信息系统V1.0，中国，2020SR0388591，软著登字第5267287号，上海数慧，有效；</w:t>
            </w:r>
          </w:p>
          <w:p w14:paraId="6273920C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7、计算机软件著作权，数慧自然资源智能感知平台V1.0，中国，2023SR1429941，2023-11-14，软著登字第12017114号，上海数慧，有效；</w:t>
            </w:r>
          </w:p>
          <w:p w14:paraId="02885422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8、计算机软件著作权，数慧全域土地综合整治数字化管理软件V1.0，中国，2024SR0475252，2024-04-08，软著登字第12879125号，上海数慧，有效；</w:t>
            </w:r>
          </w:p>
          <w:p w14:paraId="2150BB49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9、发明专利，一种基于金字塔模型的遥感影像切图方法，中国，ZL201310031333.6，2016-11-30，证书号第2304012号，浙江大学，郑国轴、陈亮、江琳、陶金火、陈华钧、吴朝晖、杨建华，有效；</w:t>
            </w:r>
          </w:p>
          <w:p w14:paraId="67A2CE7A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10、发明专利，基于语义模板的遥感元数据集成方法，中国，ZL201410064965.7，2017-08-15，证书号第2587199号，浙江大学，陶金火、刘娜、欧阳宇彬、郑国轴、陈华钧、吴朝晖，有效。</w:t>
            </w:r>
          </w:p>
          <w:p w14:paraId="6C7D85A5">
            <w:pPr>
              <w:widowControl/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br w:type="textWrapping"/>
            </w:r>
            <w:r>
              <w:rPr>
                <w:rFonts w:hint="eastAsia" w:eastAsia="仿宋_GB2312"/>
                <w:b/>
                <w:bCs/>
                <w:sz w:val="24"/>
                <w:szCs w:val="24"/>
              </w:rPr>
              <w:t>代表性论文专著目录：</w:t>
            </w:r>
          </w:p>
          <w:p w14:paraId="67C2018B">
            <w:pPr>
              <w:widowControl/>
              <w:numPr>
                <w:ilvl w:val="0"/>
                <w:numId w:val="1"/>
              </w:numPr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Wang K, Zhou J, Yang R, et al. Deploying photovoltaic systems in global open-pit mines for a clean energy transition[J]. Nature Sustainability, 2025, 8: 1037–1047. 2025-07-14.</w:t>
            </w:r>
          </w:p>
          <w:p w14:paraId="7CE32732">
            <w:pPr>
              <w:widowControl/>
              <w:numPr>
                <w:ilvl w:val="0"/>
                <w:numId w:val="1"/>
              </w:numPr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Yue W, Chen N, Zhang G. Using AI analysis to decode SDG integration in China’s spatial planning[J]. npj Urban Sustainability, 2026. 2026-06-06.</w:t>
            </w:r>
          </w:p>
          <w:p w14:paraId="5F08BB3E">
            <w:pPr>
              <w:widowControl/>
              <w:numPr>
                <w:ilvl w:val="0"/>
                <w:numId w:val="1"/>
              </w:numPr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Feng X, Zhang Q, Li Y, et al. Hidden costs of China’s straw-burning ban[J]. Science, 2026, 393(6812): 667-667.</w:t>
            </w:r>
          </w:p>
          <w:p w14:paraId="448E2679">
            <w:pPr>
              <w:widowControl/>
              <w:numPr>
                <w:ilvl w:val="0"/>
                <w:numId w:val="1"/>
              </w:numPr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王田雨, 岳文泽, 黄波, 等. 未来气候变化情景下浙江省陆地生态系统碳汇估算与保护区识别[J]. 地理学报, 2025, 80: 183–199. 2025-01-26.</w:t>
            </w:r>
          </w:p>
          <w:p w14:paraId="719CB926">
            <w:pPr>
              <w:widowControl/>
              <w:numPr>
                <w:ilvl w:val="0"/>
                <w:numId w:val="1"/>
              </w:numPr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Xiong J, Yue W, Xia H, et al. Will China’s territorial spatial planning policies enhance land use sustainability? An integrated assessment under global environmental change[J]. Resources, Environment and Sustainability, 2025, 21: 100228. 2025-04-12.</w:t>
            </w:r>
          </w:p>
          <w:p w14:paraId="6098385C">
            <w:pPr>
              <w:widowControl/>
              <w:numPr>
                <w:ilvl w:val="0"/>
                <w:numId w:val="1"/>
              </w:numPr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岳文泽, 侯丽, 韦静娴. 国土空间治理的数字化转型：基本内涵、模式演进与关键挑战[J]. 中国土地科学, 2024, 38: 36–44. 2024-03-05. </w:t>
            </w:r>
          </w:p>
          <w:p w14:paraId="6DAA8219">
            <w:pPr>
              <w:widowControl/>
              <w:numPr>
                <w:ilvl w:val="0"/>
                <w:numId w:val="1"/>
              </w:numPr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Wu L, Zhang Y, Long H, et al. Greater losses from heat exposure experienced by female smallholders in sub-Saharan Africa[J]. Nature Sustainability, 2026. 2026-06-26.</w:t>
            </w:r>
          </w:p>
          <w:p w14:paraId="70725DD0">
            <w:pPr>
              <w:widowControl/>
              <w:numPr>
                <w:ilvl w:val="0"/>
                <w:numId w:val="1"/>
              </w:numPr>
              <w:spacing w:line="440" w:lineRule="exact"/>
              <w:ind w:left="480" w:hanging="480" w:hangingChars="20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岳文泽, 王田雨. 资源环境承载力评价与国土空间规划的逻辑问题[J]. 中国土地科学, 2019, 33: 1–8. 2019-03-15. </w:t>
            </w:r>
          </w:p>
        </w:tc>
      </w:tr>
      <w:tr w14:paraId="3E402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156" w:type="dxa"/>
            <w:tcBorders>
              <w:right w:val="single" w:color="auto" w:sz="4" w:space="0"/>
            </w:tcBorders>
            <w:vAlign w:val="center"/>
          </w:tcPr>
          <w:p w14:paraId="53EE0F63"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/>
                <w:sz w:val="28"/>
                <w:szCs w:val="24"/>
              </w:rPr>
              <w:t>主要完成人</w:t>
            </w:r>
          </w:p>
        </w:tc>
        <w:tc>
          <w:tcPr>
            <w:tcW w:w="6520" w:type="dxa"/>
            <w:tcBorders>
              <w:left w:val="single" w:color="auto" w:sz="4" w:space="0"/>
            </w:tcBorders>
            <w:vAlign w:val="center"/>
          </w:tcPr>
          <w:p w14:paraId="75ED8E30">
            <w:pPr>
              <w:adjustRightInd w:val="0"/>
              <w:spacing w:line="440" w:lineRule="exact"/>
              <w:ind w:left="480" w:hanging="480" w:hanging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岳文泽，排名1，教授，浙江大学；</w:t>
            </w:r>
          </w:p>
          <w:p w14:paraId="7409CE45">
            <w:pPr>
              <w:adjustRightInd w:val="0"/>
              <w:spacing w:line="440" w:lineRule="exact"/>
              <w:ind w:left="480" w:hanging="480" w:hanging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肖</w:t>
            </w:r>
            <w:r>
              <w:rPr>
                <w:rFonts w:hint="eastAsia" w:eastAsia="仿宋_GB2312"/>
                <w:bCs/>
                <w:sz w:val="24"/>
                <w:szCs w:val="24"/>
              </w:rPr>
              <w:t xml:space="preserve"> </w:t>
            </w:r>
            <w:r>
              <w:rPr>
                <w:rFonts w:eastAsia="仿宋_GB2312"/>
                <w:bCs/>
                <w:sz w:val="24"/>
                <w:szCs w:val="24"/>
              </w:rPr>
              <w:t xml:space="preserve"> 武，排名</w:t>
            </w:r>
            <w:r>
              <w:rPr>
                <w:rFonts w:hint="eastAsia" w:eastAsia="仿宋_GB2312"/>
                <w:bCs/>
                <w:sz w:val="24"/>
                <w:szCs w:val="24"/>
              </w:rPr>
              <w:t>2</w:t>
            </w:r>
            <w:r>
              <w:rPr>
                <w:rFonts w:eastAsia="仿宋_GB2312"/>
                <w:bCs/>
                <w:sz w:val="24"/>
                <w:szCs w:val="24"/>
              </w:rPr>
              <w:t>，研究员，浙江大学；</w:t>
            </w:r>
          </w:p>
          <w:p w14:paraId="40434A56">
            <w:pPr>
              <w:adjustRightInd w:val="0"/>
              <w:spacing w:line="440" w:lineRule="exact"/>
              <w:ind w:left="480" w:hanging="480" w:hanging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陈习军，</w:t>
            </w:r>
            <w:r>
              <w:rPr>
                <w:rFonts w:eastAsia="仿宋_GB2312"/>
                <w:bCs/>
                <w:sz w:val="24"/>
                <w:szCs w:val="24"/>
              </w:rPr>
              <w:t>排名3，正高级工程师，浙江省国土整治中心；</w:t>
            </w:r>
          </w:p>
          <w:p w14:paraId="17203B39">
            <w:pPr>
              <w:adjustRightInd w:val="0"/>
              <w:spacing w:line="440" w:lineRule="exact"/>
              <w:ind w:left="480" w:hanging="480" w:hanging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罗</w:t>
            </w:r>
            <w:r>
              <w:rPr>
                <w:rFonts w:hint="eastAsia" w:eastAsia="仿宋_GB2312"/>
                <w:bCs/>
                <w:sz w:val="24"/>
                <w:szCs w:val="24"/>
              </w:rPr>
              <w:t xml:space="preserve">  </w:t>
            </w:r>
            <w:r>
              <w:rPr>
                <w:rFonts w:eastAsia="仿宋_GB2312"/>
                <w:bCs/>
                <w:sz w:val="24"/>
                <w:szCs w:val="24"/>
              </w:rPr>
              <w:t>亚</w:t>
            </w:r>
            <w:r>
              <w:rPr>
                <w:rFonts w:hint="eastAsia"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/>
                <w:bCs/>
                <w:sz w:val="24"/>
                <w:szCs w:val="24"/>
              </w:rPr>
              <w:t>排名</w:t>
            </w:r>
            <w:r>
              <w:rPr>
                <w:rFonts w:hint="eastAsia" w:eastAsia="仿宋_GB2312"/>
                <w:bCs/>
                <w:sz w:val="24"/>
                <w:szCs w:val="24"/>
              </w:rPr>
              <w:t>4</w:t>
            </w:r>
            <w:r>
              <w:rPr>
                <w:rFonts w:eastAsia="仿宋_GB2312"/>
                <w:bCs/>
                <w:sz w:val="24"/>
                <w:szCs w:val="24"/>
              </w:rPr>
              <w:t>，高级工程师</w:t>
            </w:r>
            <w:r>
              <w:rPr>
                <w:rFonts w:hint="eastAsia"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/>
                <w:bCs/>
                <w:sz w:val="24"/>
                <w:szCs w:val="24"/>
              </w:rPr>
              <w:t>上海超图数慧技术有限公司；</w:t>
            </w:r>
          </w:p>
          <w:p w14:paraId="037AD1F6">
            <w:pPr>
              <w:adjustRightInd w:val="0"/>
              <w:spacing w:line="440" w:lineRule="exact"/>
              <w:ind w:left="480" w:hanging="480" w:hanging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郑国轴，排名</w:t>
            </w:r>
            <w:r>
              <w:rPr>
                <w:rFonts w:hint="eastAsia" w:eastAsia="仿宋_GB2312"/>
                <w:bCs/>
                <w:sz w:val="24"/>
                <w:szCs w:val="24"/>
              </w:rPr>
              <w:t>5，副研究员，</w:t>
            </w:r>
            <w:r>
              <w:rPr>
                <w:rFonts w:eastAsia="仿宋_GB2312"/>
                <w:bCs/>
                <w:sz w:val="24"/>
                <w:szCs w:val="24"/>
              </w:rPr>
              <w:t>浙江大学；</w:t>
            </w:r>
          </w:p>
          <w:p w14:paraId="38A84EC2">
            <w:pPr>
              <w:adjustRightInd w:val="0"/>
              <w:spacing w:line="440" w:lineRule="exact"/>
              <w:ind w:left="480" w:hanging="480" w:hanging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李</w:t>
            </w:r>
            <w:r>
              <w:rPr>
                <w:rFonts w:hint="eastAsia" w:eastAsia="仿宋_GB2312"/>
                <w:bCs/>
                <w:sz w:val="24"/>
                <w:szCs w:val="24"/>
              </w:rPr>
              <w:t xml:space="preserve">  </w:t>
            </w:r>
            <w:r>
              <w:rPr>
                <w:rFonts w:eastAsia="仿宋_GB2312"/>
                <w:bCs/>
                <w:sz w:val="24"/>
                <w:szCs w:val="24"/>
              </w:rPr>
              <w:t>艳</w:t>
            </w:r>
            <w:r>
              <w:rPr>
                <w:rFonts w:hint="eastAsia"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/>
                <w:bCs/>
                <w:sz w:val="24"/>
                <w:szCs w:val="24"/>
              </w:rPr>
              <w:t>排名</w:t>
            </w:r>
            <w:r>
              <w:rPr>
                <w:rFonts w:hint="eastAsia" w:eastAsia="仿宋_GB2312"/>
                <w:bCs/>
                <w:sz w:val="24"/>
                <w:szCs w:val="24"/>
              </w:rPr>
              <w:t>6，</w:t>
            </w:r>
            <w:r>
              <w:rPr>
                <w:rFonts w:eastAsia="仿宋_GB2312"/>
                <w:bCs/>
                <w:sz w:val="24"/>
                <w:szCs w:val="24"/>
              </w:rPr>
              <w:t>教授，浙江大学；</w:t>
            </w:r>
          </w:p>
          <w:p w14:paraId="7FC8AEAE">
            <w:pPr>
              <w:adjustRightInd w:val="0"/>
              <w:spacing w:line="440" w:lineRule="exact"/>
              <w:ind w:left="480" w:hanging="480" w:hanging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张英男</w:t>
            </w:r>
            <w:r>
              <w:rPr>
                <w:rFonts w:hint="eastAsia"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/>
                <w:bCs/>
                <w:sz w:val="24"/>
                <w:szCs w:val="24"/>
              </w:rPr>
              <w:t>排名</w:t>
            </w:r>
            <w:r>
              <w:rPr>
                <w:rFonts w:hint="eastAsia" w:eastAsia="仿宋_GB2312"/>
                <w:bCs/>
                <w:sz w:val="24"/>
                <w:szCs w:val="24"/>
              </w:rPr>
              <w:t>7，副研究员，</w:t>
            </w:r>
            <w:r>
              <w:rPr>
                <w:rFonts w:eastAsia="仿宋_GB2312"/>
                <w:bCs/>
                <w:sz w:val="24"/>
                <w:szCs w:val="24"/>
              </w:rPr>
              <w:t>浙江大学；</w:t>
            </w:r>
          </w:p>
          <w:p w14:paraId="6BFE9B22">
            <w:pPr>
              <w:adjustRightInd w:val="0"/>
              <w:spacing w:line="440" w:lineRule="exact"/>
              <w:ind w:left="480" w:hanging="480" w:hanging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李文静</w:t>
            </w:r>
            <w:r>
              <w:rPr>
                <w:rFonts w:hint="eastAsia"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/>
                <w:bCs/>
                <w:sz w:val="24"/>
                <w:szCs w:val="24"/>
              </w:rPr>
              <w:t>排名</w:t>
            </w:r>
            <w:r>
              <w:rPr>
                <w:rFonts w:hint="eastAsia" w:eastAsia="仿宋_GB2312"/>
                <w:bCs/>
                <w:sz w:val="24"/>
                <w:szCs w:val="24"/>
              </w:rPr>
              <w:t>8，助理研究员，</w:t>
            </w:r>
            <w:r>
              <w:rPr>
                <w:rFonts w:eastAsia="仿宋_GB2312"/>
                <w:bCs/>
                <w:sz w:val="24"/>
                <w:szCs w:val="24"/>
              </w:rPr>
              <w:t>浙江大学；</w:t>
            </w:r>
          </w:p>
          <w:p w14:paraId="4316C20C">
            <w:pPr>
              <w:adjustRightInd w:val="0"/>
              <w:spacing w:line="440" w:lineRule="exact"/>
              <w:ind w:left="480" w:hanging="480" w:hanging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余铁桥</w:t>
            </w:r>
            <w:r>
              <w:rPr>
                <w:rFonts w:hint="eastAsia" w:eastAsia="仿宋_GB2312"/>
                <w:bCs/>
                <w:sz w:val="24"/>
                <w:szCs w:val="24"/>
              </w:rPr>
              <w:t>，</w:t>
            </w:r>
            <w:r>
              <w:rPr>
                <w:rFonts w:eastAsia="仿宋_GB2312"/>
                <w:bCs/>
                <w:sz w:val="24"/>
                <w:szCs w:val="24"/>
              </w:rPr>
              <w:t>排名</w:t>
            </w:r>
            <w:r>
              <w:rPr>
                <w:rFonts w:hint="eastAsia" w:eastAsia="仿宋_GB2312"/>
                <w:bCs/>
                <w:sz w:val="24"/>
                <w:szCs w:val="24"/>
              </w:rPr>
              <w:t>9，</w:t>
            </w:r>
            <w:r>
              <w:rPr>
                <w:rFonts w:eastAsia="仿宋_GB2312"/>
                <w:bCs/>
                <w:sz w:val="24"/>
                <w:szCs w:val="24"/>
              </w:rPr>
              <w:t>上海超图数慧技术有限公司；</w:t>
            </w:r>
          </w:p>
          <w:p w14:paraId="6F9F9A99">
            <w:pPr>
              <w:adjustRightInd w:val="0"/>
              <w:spacing w:line="440" w:lineRule="exact"/>
              <w:ind w:left="480" w:hanging="480" w:hangingChars="200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万鹏翔</w:t>
            </w:r>
            <w:r>
              <w:rPr>
                <w:rFonts w:hint="eastAsia" w:eastAsia="仿宋_GB2312"/>
                <w:bCs/>
                <w:sz w:val="24"/>
                <w:szCs w:val="24"/>
              </w:rPr>
              <w:t>，排名10，</w:t>
            </w:r>
            <w:r>
              <w:rPr>
                <w:rFonts w:eastAsia="仿宋_GB2312"/>
                <w:bCs/>
                <w:sz w:val="24"/>
                <w:szCs w:val="24"/>
              </w:rPr>
              <w:t>浙江大学</w:t>
            </w:r>
          </w:p>
          <w:p w14:paraId="72C06F92">
            <w:pPr>
              <w:adjustRightInd w:val="0"/>
              <w:spacing w:line="440" w:lineRule="exact"/>
              <w:ind w:left="480" w:hanging="480" w:hangingChars="200"/>
              <w:rPr>
                <w:rFonts w:eastAsia="仿宋_GB2312"/>
                <w:bCs/>
                <w:sz w:val="24"/>
                <w:szCs w:val="24"/>
              </w:rPr>
            </w:pPr>
          </w:p>
        </w:tc>
      </w:tr>
      <w:tr w14:paraId="7081D3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2156" w:type="dxa"/>
            <w:tcBorders>
              <w:right w:val="single" w:color="auto" w:sz="4" w:space="0"/>
            </w:tcBorders>
            <w:vAlign w:val="center"/>
          </w:tcPr>
          <w:p w14:paraId="31658CC9">
            <w:pPr>
              <w:spacing w:line="440" w:lineRule="exact"/>
              <w:jc w:val="center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/>
                <w:b/>
                <w:sz w:val="28"/>
                <w:szCs w:val="24"/>
              </w:rPr>
              <w:t>主要完成单位</w:t>
            </w:r>
          </w:p>
        </w:tc>
        <w:tc>
          <w:tcPr>
            <w:tcW w:w="6520" w:type="dxa"/>
            <w:tcBorders>
              <w:left w:val="single" w:color="auto" w:sz="4" w:space="0"/>
            </w:tcBorders>
            <w:vAlign w:val="center"/>
          </w:tcPr>
          <w:p w14:paraId="07F073BA">
            <w:pPr>
              <w:spacing w:line="440" w:lineRule="exact"/>
              <w:jc w:val="left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1、浙江大学；</w:t>
            </w:r>
            <w:r>
              <w:rPr>
                <w:rFonts w:eastAsia="仿宋_GB2312"/>
                <w:bCs/>
                <w:sz w:val="24"/>
                <w:szCs w:val="24"/>
              </w:rPr>
              <w:br w:type="textWrapping"/>
            </w:r>
            <w:r>
              <w:rPr>
                <w:rFonts w:eastAsia="仿宋_GB2312"/>
                <w:bCs/>
                <w:sz w:val="24"/>
                <w:szCs w:val="24"/>
              </w:rPr>
              <w:t>2、浙江省国土整治中心；</w:t>
            </w:r>
            <w:r>
              <w:rPr>
                <w:rFonts w:eastAsia="仿宋_GB2312"/>
                <w:bCs/>
                <w:sz w:val="24"/>
                <w:szCs w:val="24"/>
              </w:rPr>
              <w:br w:type="textWrapping"/>
            </w:r>
            <w:r>
              <w:rPr>
                <w:rFonts w:eastAsia="仿宋_GB2312"/>
                <w:bCs/>
                <w:sz w:val="24"/>
                <w:szCs w:val="24"/>
              </w:rPr>
              <w:t>3、上海超图数慧技术有限公司</w:t>
            </w:r>
          </w:p>
        </w:tc>
      </w:tr>
      <w:tr w14:paraId="28A66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156" w:type="dxa"/>
            <w:vAlign w:val="center"/>
          </w:tcPr>
          <w:p w14:paraId="0128E5F7">
            <w:pPr>
              <w:jc w:val="center"/>
              <w:rPr>
                <w:rStyle w:val="11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11"/>
                <w:rFonts w:eastAsia="仿宋_GB2312"/>
                <w:color w:val="auto"/>
                <w:sz w:val="28"/>
                <w:szCs w:val="28"/>
              </w:rPr>
              <w:t>提名单位</w:t>
            </w:r>
          </w:p>
        </w:tc>
        <w:tc>
          <w:tcPr>
            <w:tcW w:w="6520" w:type="dxa"/>
            <w:vAlign w:val="center"/>
          </w:tcPr>
          <w:p w14:paraId="37D42F2F">
            <w:pPr>
              <w:contextualSpacing/>
              <w:jc w:val="center"/>
              <w:rPr>
                <w:rStyle w:val="11"/>
                <w:color w:val="auto"/>
              </w:rPr>
            </w:pPr>
            <w:r>
              <w:rPr>
                <w:rFonts w:eastAsia="仿宋_GB2312"/>
                <w:sz w:val="24"/>
              </w:rPr>
              <w:t>中国自然资源学会资源权益研究分会</w:t>
            </w:r>
          </w:p>
        </w:tc>
      </w:tr>
      <w:tr w14:paraId="7BFD9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3" w:hRule="atLeast"/>
        </w:trPr>
        <w:tc>
          <w:tcPr>
            <w:tcW w:w="2156" w:type="dxa"/>
            <w:vAlign w:val="center"/>
          </w:tcPr>
          <w:p w14:paraId="232004FE">
            <w:pPr>
              <w:jc w:val="center"/>
              <w:rPr>
                <w:rStyle w:val="11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11"/>
                <w:rFonts w:eastAsia="仿宋_GB2312"/>
                <w:color w:val="auto"/>
                <w:sz w:val="28"/>
                <w:szCs w:val="28"/>
              </w:rPr>
              <w:t>提名意见</w:t>
            </w:r>
          </w:p>
        </w:tc>
        <w:tc>
          <w:tcPr>
            <w:tcW w:w="6520" w:type="dxa"/>
            <w:vAlign w:val="center"/>
          </w:tcPr>
          <w:p w14:paraId="4990885E">
            <w:pPr>
              <w:spacing w:line="440" w:lineRule="exact"/>
              <w:ind w:firstLine="480" w:firstLine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该成果面向国家治理现代化和自然资源管理数字化、智能化转型重大需求，针对复杂国土空间认知不足、规划决策支撑不强、实施监管协同不够等问题，持续开展理论、技术与应用研究，形成数智化国土空间治理的系统成果。</w:t>
            </w:r>
          </w:p>
          <w:p w14:paraId="669D4D37">
            <w:pPr>
              <w:spacing w:line="440" w:lineRule="exact"/>
              <w:ind w:firstLine="480" w:firstLine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成果构建“五大国土”协同、现代性重构与数智化转型相贯通的理论框架，深化对国土空间价值目标、空间关系与治理方式的认识；形成多源空间感知与动态诊断、空间关系分析与多情景模拟推演、规划实施与全域整治数字化管控等关键技术，提升从状态识别、关系解析到方案推演和实施监督的技术能力；建立空间码全生命周期关联、国土空间“一张图”实施监督和全域土地综合整治数智治理技术，推动数据、模型、规则与业务流程在规划、整治、监管等环节协同运行。</w:t>
            </w:r>
          </w:p>
          <w:p w14:paraId="0E8FF475">
            <w:pPr>
              <w:spacing w:line="440" w:lineRule="exact"/>
              <w:ind w:firstLine="480" w:firstLine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相关成果已服务国家国土空间规划实施监测评估，并在浙江、山东、四川、河北等省形成省域应用。在浙江，成果覆盖</w:t>
            </w:r>
            <w:r>
              <w:rPr>
                <w:rFonts w:eastAsia="仿宋_GB2312"/>
                <w:bCs/>
                <w:sz w:val="24"/>
                <w:szCs w:val="24"/>
              </w:rPr>
              <w:t>87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个县级自然资源管理单元，支撑</w:t>
            </w:r>
            <w:r>
              <w:rPr>
                <w:rFonts w:eastAsia="仿宋_GB2312"/>
                <w:bCs/>
                <w:sz w:val="24"/>
                <w:szCs w:val="24"/>
              </w:rPr>
              <w:t>1055</w:t>
            </w:r>
            <w:r>
              <w:rPr>
                <w:rFonts w:hint="eastAsia" w:eastAsia="仿宋_GB2312"/>
                <w:bCs/>
                <w:sz w:val="24"/>
                <w:szCs w:val="24"/>
              </w:rPr>
              <w:t>项国土空间整治工程，并拓展至“一地一码”、生态修复监管、自然资源评估预警等场景。成果形成系列论文、专著、专利、软件著作权和技术标准，多项核心技术及平台获地理信息科技进步奖一等奖等科技奖励，对提升国土空间规划科学决策、实施监督和自然资源精细化治理能力具有重要作用，具有较强的行业推广价值。</w:t>
            </w:r>
          </w:p>
          <w:p w14:paraId="3282D392">
            <w:pPr>
              <w:spacing w:line="440" w:lineRule="exact"/>
              <w:ind w:firstLine="480" w:firstLineChars="200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鉴定委员会认为该成果对推动国土空间治理由要素管理向系统治理、由经验研判向数智决策、由分散管理向全过程协同转型具有重要科技支撑和行业示范意义。推荐申报自然资源科学技术进步奖一等奖或二等奖。</w:t>
            </w:r>
            <w:r>
              <w:rPr>
                <w:rFonts w:eastAsia="仿宋_GB2312"/>
                <w:bCs/>
                <w:sz w:val="24"/>
                <w:szCs w:val="24"/>
              </w:rPr>
              <w:t xml:space="preserve"> </w:t>
            </w:r>
          </w:p>
        </w:tc>
      </w:tr>
    </w:tbl>
    <w:p w14:paraId="5A0036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3E1396"/>
    <w:multiLevelType w:val="singleLevel"/>
    <w:tmpl w:val="ED3E139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78A"/>
    <w:rsid w:val="0001595C"/>
    <w:rsid w:val="000370DD"/>
    <w:rsid w:val="000800AD"/>
    <w:rsid w:val="0009350D"/>
    <w:rsid w:val="000B37BE"/>
    <w:rsid w:val="000B53B3"/>
    <w:rsid w:val="00113264"/>
    <w:rsid w:val="00133845"/>
    <w:rsid w:val="00140A08"/>
    <w:rsid w:val="001447D6"/>
    <w:rsid w:val="001865CC"/>
    <w:rsid w:val="00225693"/>
    <w:rsid w:val="00260C41"/>
    <w:rsid w:val="00272994"/>
    <w:rsid w:val="0028032C"/>
    <w:rsid w:val="00291599"/>
    <w:rsid w:val="002A0B6C"/>
    <w:rsid w:val="002B4DBC"/>
    <w:rsid w:val="002E5BBB"/>
    <w:rsid w:val="00331E41"/>
    <w:rsid w:val="00332CA0"/>
    <w:rsid w:val="00336D9C"/>
    <w:rsid w:val="00337E72"/>
    <w:rsid w:val="00354BFD"/>
    <w:rsid w:val="00386E25"/>
    <w:rsid w:val="003B3A2B"/>
    <w:rsid w:val="003B7A7D"/>
    <w:rsid w:val="003C0FAB"/>
    <w:rsid w:val="003C26BA"/>
    <w:rsid w:val="003C7005"/>
    <w:rsid w:val="003D2EA2"/>
    <w:rsid w:val="003D5858"/>
    <w:rsid w:val="003E2758"/>
    <w:rsid w:val="003F637F"/>
    <w:rsid w:val="004455F3"/>
    <w:rsid w:val="00472313"/>
    <w:rsid w:val="00487DF6"/>
    <w:rsid w:val="004A7A18"/>
    <w:rsid w:val="004A7E14"/>
    <w:rsid w:val="004D0FF7"/>
    <w:rsid w:val="004D3794"/>
    <w:rsid w:val="00505C02"/>
    <w:rsid w:val="005125E5"/>
    <w:rsid w:val="005170B2"/>
    <w:rsid w:val="00522A50"/>
    <w:rsid w:val="005722F8"/>
    <w:rsid w:val="00594FAD"/>
    <w:rsid w:val="005956FF"/>
    <w:rsid w:val="005A09DC"/>
    <w:rsid w:val="005C737D"/>
    <w:rsid w:val="005F7530"/>
    <w:rsid w:val="0061574E"/>
    <w:rsid w:val="0062444F"/>
    <w:rsid w:val="00637E7C"/>
    <w:rsid w:val="00650549"/>
    <w:rsid w:val="00652BD7"/>
    <w:rsid w:val="00653BB3"/>
    <w:rsid w:val="006B3AEC"/>
    <w:rsid w:val="006B6141"/>
    <w:rsid w:val="006D14FF"/>
    <w:rsid w:val="006D4ABE"/>
    <w:rsid w:val="007021D5"/>
    <w:rsid w:val="00723F67"/>
    <w:rsid w:val="007306C7"/>
    <w:rsid w:val="0075115D"/>
    <w:rsid w:val="007512DC"/>
    <w:rsid w:val="00756F19"/>
    <w:rsid w:val="00775825"/>
    <w:rsid w:val="007A378A"/>
    <w:rsid w:val="007D21B8"/>
    <w:rsid w:val="007D5F94"/>
    <w:rsid w:val="007E6629"/>
    <w:rsid w:val="007F4245"/>
    <w:rsid w:val="0080307B"/>
    <w:rsid w:val="00821DF8"/>
    <w:rsid w:val="00834B51"/>
    <w:rsid w:val="0083694B"/>
    <w:rsid w:val="00843FA1"/>
    <w:rsid w:val="00870150"/>
    <w:rsid w:val="00877D12"/>
    <w:rsid w:val="008846B9"/>
    <w:rsid w:val="00884824"/>
    <w:rsid w:val="008B76F6"/>
    <w:rsid w:val="008C5EAF"/>
    <w:rsid w:val="008E49D9"/>
    <w:rsid w:val="00906299"/>
    <w:rsid w:val="00916A12"/>
    <w:rsid w:val="00923D58"/>
    <w:rsid w:val="00933F64"/>
    <w:rsid w:val="00976359"/>
    <w:rsid w:val="00983D99"/>
    <w:rsid w:val="00984CDE"/>
    <w:rsid w:val="00991319"/>
    <w:rsid w:val="009A0C6E"/>
    <w:rsid w:val="009A60DC"/>
    <w:rsid w:val="009B1EEC"/>
    <w:rsid w:val="009B7003"/>
    <w:rsid w:val="009D34E5"/>
    <w:rsid w:val="009F5AA8"/>
    <w:rsid w:val="00A2366E"/>
    <w:rsid w:val="00A31792"/>
    <w:rsid w:val="00A3548A"/>
    <w:rsid w:val="00A47FD1"/>
    <w:rsid w:val="00A609D4"/>
    <w:rsid w:val="00A67CB9"/>
    <w:rsid w:val="00A95140"/>
    <w:rsid w:val="00AA0226"/>
    <w:rsid w:val="00B17D95"/>
    <w:rsid w:val="00B272D7"/>
    <w:rsid w:val="00B27B31"/>
    <w:rsid w:val="00B709DA"/>
    <w:rsid w:val="00B72412"/>
    <w:rsid w:val="00B927C7"/>
    <w:rsid w:val="00B968AF"/>
    <w:rsid w:val="00BA6CA7"/>
    <w:rsid w:val="00BB1787"/>
    <w:rsid w:val="00BC190C"/>
    <w:rsid w:val="00BC73F5"/>
    <w:rsid w:val="00C03F73"/>
    <w:rsid w:val="00C260B5"/>
    <w:rsid w:val="00C35087"/>
    <w:rsid w:val="00C36877"/>
    <w:rsid w:val="00C53ADD"/>
    <w:rsid w:val="00C72C48"/>
    <w:rsid w:val="00C775E3"/>
    <w:rsid w:val="00CB37E2"/>
    <w:rsid w:val="00CC64D3"/>
    <w:rsid w:val="00CE1E62"/>
    <w:rsid w:val="00CE4E46"/>
    <w:rsid w:val="00D057CE"/>
    <w:rsid w:val="00D36471"/>
    <w:rsid w:val="00DA610D"/>
    <w:rsid w:val="00DC5A0F"/>
    <w:rsid w:val="00DD4F38"/>
    <w:rsid w:val="00DF2F30"/>
    <w:rsid w:val="00DF554C"/>
    <w:rsid w:val="00E36493"/>
    <w:rsid w:val="00E4413A"/>
    <w:rsid w:val="00E47DE6"/>
    <w:rsid w:val="00E7584C"/>
    <w:rsid w:val="00E9332A"/>
    <w:rsid w:val="00EB6F13"/>
    <w:rsid w:val="00ED48E9"/>
    <w:rsid w:val="00EF53E9"/>
    <w:rsid w:val="00F00C7A"/>
    <w:rsid w:val="00F1171C"/>
    <w:rsid w:val="00F348DF"/>
    <w:rsid w:val="00F77E6C"/>
    <w:rsid w:val="00FA7417"/>
    <w:rsid w:val="00FB755A"/>
    <w:rsid w:val="00FC1E68"/>
    <w:rsid w:val="00FC61B7"/>
    <w:rsid w:val="00FE5A9E"/>
    <w:rsid w:val="37FB5F4E"/>
    <w:rsid w:val="4AAFAD4E"/>
    <w:rsid w:val="4FF02A21"/>
    <w:rsid w:val="5E09DBB9"/>
    <w:rsid w:val="5E7D5670"/>
    <w:rsid w:val="5FBA3195"/>
    <w:rsid w:val="65806F43"/>
    <w:rsid w:val="6BBF23E5"/>
    <w:rsid w:val="6BFB0843"/>
    <w:rsid w:val="79C94A0E"/>
    <w:rsid w:val="7ABF1B5F"/>
    <w:rsid w:val="AB5DE746"/>
    <w:rsid w:val="B3E7DF14"/>
    <w:rsid w:val="BBBDF93B"/>
    <w:rsid w:val="BFFB8075"/>
    <w:rsid w:val="CDFFC8B5"/>
    <w:rsid w:val="E97BE7EA"/>
    <w:rsid w:val="EDEF9AA0"/>
    <w:rsid w:val="EDFE0844"/>
    <w:rsid w:val="F7E580BF"/>
    <w:rsid w:val="FABF8391"/>
    <w:rsid w:val="FBB77EA2"/>
    <w:rsid w:val="FDD532AB"/>
    <w:rsid w:val="FF5FE074"/>
    <w:rsid w:val="FFD39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widowControl/>
      <w:spacing w:before="340" w:after="330" w:line="578" w:lineRule="auto"/>
      <w:jc w:val="left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2"/>
    <w:unhideWhenUsed/>
    <w:qFormat/>
    <w:uiPriority w:val="99"/>
    <w:pPr>
      <w:widowControl/>
      <w:jc w:val="left"/>
    </w:pPr>
  </w:style>
  <w:style w:type="paragraph" w:styleId="4">
    <w:name w:val="Plain Text"/>
    <w:basedOn w:val="1"/>
    <w:link w:val="13"/>
    <w:qFormat/>
    <w:uiPriority w:val="0"/>
    <w:pPr>
      <w:spacing w:line="360" w:lineRule="auto"/>
      <w:ind w:firstLine="480" w:firstLineChars="200"/>
    </w:pPr>
    <w:rPr>
      <w:rFonts w:hint="eastAsia" w:ascii="仿宋_GB2312" w:hAnsi="Calibri"/>
      <w:sz w:val="24"/>
      <w:szCs w:val="24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Calibri" w:hAnsi="Calibri"/>
      <w:kern w:val="0"/>
      <w:sz w:val="24"/>
      <w:szCs w:val="21"/>
    </w:rPr>
  </w:style>
  <w:style w:type="character" w:styleId="8">
    <w:name w:val="FollowedHyperlink"/>
    <w:basedOn w:val="7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1">
    <w:name w:val="title1"/>
    <w:qFormat/>
    <w:uiPriority w:val="0"/>
    <w:rPr>
      <w:b/>
      <w:bCs/>
      <w:color w:val="999900"/>
      <w:sz w:val="24"/>
      <w:szCs w:val="24"/>
    </w:rPr>
  </w:style>
  <w:style w:type="character" w:customStyle="1" w:styleId="12">
    <w:name w:val="批注文字 字符"/>
    <w:basedOn w:val="7"/>
    <w:link w:val="3"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3">
    <w:name w:val="纯文本 字符"/>
    <w:basedOn w:val="7"/>
    <w:link w:val="4"/>
    <w:qFormat/>
    <w:uiPriority w:val="0"/>
    <w:rPr>
      <w:rFonts w:ascii="仿宋_GB2312" w:hAnsi="Calibri" w:eastAsia="宋体" w:cs="Times New Roman"/>
      <w:sz w:val="24"/>
      <w:szCs w:val="24"/>
    </w:rPr>
  </w:style>
  <w:style w:type="paragraph" w:customStyle="1" w:styleId="14">
    <w:name w:val="修订1"/>
    <w:hidden/>
    <w:unhideWhenUsed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5">
    <w:name w:val="17"/>
    <w:basedOn w:val="7"/>
    <w:uiPriority w:val="0"/>
    <w:rPr>
      <w:rFonts w:hint="default" w:ascii="Times New Roman" w:hAnsi="Times New Roman" w:cs="Times New Roman"/>
      <w:b/>
      <w:bCs/>
      <w:color w:val="000000"/>
      <w:sz w:val="21"/>
      <w:szCs w:val="21"/>
    </w:rPr>
  </w:style>
  <w:style w:type="character" w:customStyle="1" w:styleId="16">
    <w:name w:val="16"/>
    <w:basedOn w:val="7"/>
    <w:uiPriority w:val="0"/>
    <w:rPr>
      <w:rFonts w:hint="eastAsia" w:ascii="宋体" w:hAnsi="宋体" w:eastAsia="宋体"/>
      <w:b/>
      <w:bCs/>
      <w:color w:val="000000"/>
      <w:sz w:val="21"/>
      <w:szCs w:val="21"/>
    </w:rPr>
  </w:style>
  <w:style w:type="character" w:customStyle="1" w:styleId="17">
    <w:name w:val="19"/>
    <w:basedOn w:val="7"/>
    <w:uiPriority w:val="0"/>
    <w:rPr>
      <w:rFonts w:hint="eastAsia" w:ascii="宋体" w:hAnsi="宋体" w:eastAsia="宋体"/>
      <w:b/>
      <w:bCs/>
      <w:color w:val="000000"/>
      <w:sz w:val="21"/>
      <w:szCs w:val="21"/>
    </w:rPr>
  </w:style>
  <w:style w:type="character" w:customStyle="1" w:styleId="18">
    <w:name w:val="15"/>
    <w:basedOn w:val="7"/>
    <w:uiPriority w:val="0"/>
    <w:rPr>
      <w:rFonts w:hint="eastAsia" w:ascii="宋体" w:hAnsi="宋体" w:eastAsia="宋体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6FD3C690-FB4C-4409-9DCB-694F20F52A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3286</Words>
  <Characters>4313</Characters>
  <Lines>32</Lines>
  <Paragraphs>9</Paragraphs>
  <TotalTime>14</TotalTime>
  <ScaleCrop>false</ScaleCrop>
  <LinksUpToDate>false</LinksUpToDate>
  <CharactersWithSpaces>4466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2024-08-13T02:14:00Z</dcterms:created>
  <dc:creator>ZJU</dc:creator>
  <cp:lastModifiedBy>陈珊O_o</cp:lastModifiedBy>
  <dcterms:modified xsi:type="dcterms:W3CDTF">2026-09-10T08:13:09Z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15FC8EE18485B7F9510DA26ADB3189F3_43</vt:lpwstr>
  </property>
  <property fmtid="{D5CDD505-2E9C-101B-9397-08002B2CF9AE}" pid="4" name="KSOTemplateDocerSaveRecord">
    <vt:lpwstr>eyJoZGlkIjoiYzgxNTU1Y2ZhNmM4MmVkN2ViZDEyN2ZkZDkyNTNmN2YiLCJ1c2VySWQiOiI0NDMwODU2NTMifQ==</vt:lpwstr>
  </property>
</Properties>
</file>