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A57ED9">
      <w:pPr>
        <w:jc w:val="center"/>
        <w:rPr>
          <w:rStyle w:val="38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38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1077D1C0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hint="eastAsia" w:eastAsia="仿宋_GB2312"/>
          <w:sz w:val="24"/>
          <w:szCs w:val="22"/>
        </w:rPr>
        <w:t>提名奖</w:t>
      </w:r>
      <w:r>
        <w:rPr>
          <w:rFonts w:hint="eastAsia" w:ascii="仿宋_GB2312" w:eastAsia="仿宋_GB2312"/>
          <w:sz w:val="24"/>
          <w:szCs w:val="24"/>
        </w:rPr>
        <w:t>项：技术发明奖</w:t>
      </w:r>
    </w:p>
    <w:tbl>
      <w:tblPr>
        <w:tblStyle w:val="17"/>
        <w:tblW w:w="85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6663"/>
      </w:tblGrid>
      <w:tr w14:paraId="6AD04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843" w:type="dxa"/>
            <w:vAlign w:val="center"/>
          </w:tcPr>
          <w:p w14:paraId="445F2EF7">
            <w:pPr>
              <w:contextualSpacing/>
              <w:jc w:val="center"/>
              <w:rPr>
                <w:rStyle w:val="38"/>
                <w:rFonts w:hint="eastAsia"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6DA0FC85">
            <w:pPr>
              <w:contextualSpacing/>
              <w:jc w:val="center"/>
              <w:rPr>
                <w:rStyle w:val="38"/>
                <w:rFonts w:ascii="仿宋_GB2312" w:eastAsia="仿宋_GB2312"/>
                <w:b w:val="0"/>
                <w:color w:val="FF0000"/>
              </w:rPr>
            </w:pPr>
            <w:r>
              <w:rPr>
                <w:rStyle w:val="38"/>
                <w:rFonts w:hint="eastAsia" w:ascii="仿宋_GB2312" w:hAnsi="仿宋" w:eastAsia="仿宋_GB2312" w:cs="微软雅黑"/>
                <w:b w:val="0"/>
                <w:color w:val="auto"/>
              </w:rPr>
              <w:t>高压气溶胶解构</w:t>
            </w:r>
            <w:r>
              <w:rPr>
                <w:rStyle w:val="38"/>
                <w:rFonts w:hint="eastAsia" w:ascii="仿宋_GB2312" w:hAnsi="仿宋" w:eastAsia="仿宋_GB2312" w:cs="___WRD_EMBED_SUB_46"/>
                <w:b w:val="0"/>
                <w:color w:val="auto"/>
              </w:rPr>
              <w:t>排</w:t>
            </w:r>
            <w:r>
              <w:rPr>
                <w:rStyle w:val="38"/>
                <w:rFonts w:hint="eastAsia" w:ascii="仿宋_GB2312" w:hAnsi="仿宋" w:eastAsia="仿宋_GB2312" w:cs="微软雅黑"/>
                <w:b w:val="0"/>
                <w:color w:val="auto"/>
              </w:rPr>
              <w:t>水固结理论</w:t>
            </w:r>
            <w:r>
              <w:rPr>
                <w:rStyle w:val="38"/>
                <w:rFonts w:hint="eastAsia" w:ascii="仿宋_GB2312" w:hAnsi="仿宋" w:eastAsia="仿宋_GB2312" w:cs="___WRD_EMBED_SUB_46"/>
                <w:b w:val="0"/>
                <w:color w:val="auto"/>
              </w:rPr>
              <w:t>、</w:t>
            </w:r>
            <w:r>
              <w:rPr>
                <w:rStyle w:val="38"/>
                <w:rFonts w:hint="eastAsia" w:ascii="仿宋_GB2312" w:hAnsi="仿宋" w:eastAsia="仿宋_GB2312"/>
                <w:b w:val="0"/>
                <w:color w:val="auto"/>
              </w:rPr>
              <w:t>关</w:t>
            </w:r>
            <w:r>
              <w:rPr>
                <w:rStyle w:val="38"/>
                <w:rFonts w:hint="eastAsia" w:ascii="仿宋_GB2312" w:hAnsi="仿宋" w:eastAsia="仿宋_GB2312" w:cs="微软雅黑"/>
                <w:b w:val="0"/>
                <w:color w:val="auto"/>
              </w:rPr>
              <w:t>键</w:t>
            </w:r>
            <w:r>
              <w:rPr>
                <w:rStyle w:val="38"/>
                <w:rFonts w:hint="eastAsia" w:ascii="仿宋_GB2312" w:hAnsi="仿宋" w:eastAsia="仿宋_GB2312"/>
                <w:b w:val="0"/>
                <w:color w:val="auto"/>
              </w:rPr>
              <w:t>技术</w:t>
            </w:r>
            <w:r>
              <w:rPr>
                <w:rStyle w:val="38"/>
                <w:rFonts w:hint="eastAsia" w:ascii="仿宋_GB2312" w:hAnsi="仿宋" w:eastAsia="仿宋_GB2312" w:cs="___WRD_EMBED_SUB_46"/>
                <w:b w:val="0"/>
                <w:color w:val="auto"/>
              </w:rPr>
              <w:t>及</w:t>
            </w:r>
            <w:r>
              <w:rPr>
                <w:rStyle w:val="38"/>
                <w:rFonts w:hint="eastAsia" w:ascii="仿宋_GB2312" w:hAnsi="仿宋" w:eastAsia="仿宋_GB2312" w:cs="微软雅黑"/>
                <w:b w:val="0"/>
                <w:color w:val="auto"/>
              </w:rPr>
              <w:t>应用</w:t>
            </w:r>
          </w:p>
        </w:tc>
      </w:tr>
      <w:tr w14:paraId="443309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843" w:type="dxa"/>
            <w:vAlign w:val="center"/>
          </w:tcPr>
          <w:p w14:paraId="55B5E22A">
            <w:pPr>
              <w:contextualSpacing/>
              <w:jc w:val="center"/>
              <w:rPr>
                <w:rStyle w:val="38"/>
                <w:rFonts w:hint="eastAsia"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14:paraId="7671162A">
            <w:pPr>
              <w:tabs>
                <w:tab w:val="left" w:pos="2138"/>
              </w:tabs>
              <w:contextualSpacing/>
              <w:jc w:val="center"/>
              <w:rPr>
                <w:rStyle w:val="38"/>
                <w:rFonts w:ascii="仿宋_GB2312" w:eastAsia="仿宋_GB2312"/>
                <w:b w:val="0"/>
                <w:color w:val="auto"/>
              </w:rPr>
            </w:pPr>
            <w:r>
              <w:rPr>
                <w:rStyle w:val="38"/>
                <w:rFonts w:hint="eastAsia" w:ascii="仿宋_GB2312" w:eastAsia="仿宋_GB2312"/>
                <w:b w:val="0"/>
                <w:color w:val="auto"/>
              </w:rPr>
              <w:t>一等奖</w:t>
            </w:r>
          </w:p>
        </w:tc>
      </w:tr>
      <w:tr w14:paraId="4E1B9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4" w:hRule="atLeast"/>
          <w:jc w:val="center"/>
        </w:trPr>
        <w:tc>
          <w:tcPr>
            <w:tcW w:w="1843" w:type="dxa"/>
            <w:vAlign w:val="center"/>
          </w:tcPr>
          <w:p w14:paraId="05AE82B9">
            <w:pPr>
              <w:contextualSpacing/>
              <w:jc w:val="center"/>
              <w:rPr>
                <w:rFonts w:hint="eastAsia"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提名书</w:t>
            </w:r>
          </w:p>
          <w:p w14:paraId="18D9A146">
            <w:pPr>
              <w:contextualSpacing/>
              <w:jc w:val="center"/>
              <w:rPr>
                <w:rFonts w:hint="eastAsia"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6F2FCDE3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1.主要知识产权目录：</w:t>
            </w:r>
          </w:p>
          <w:p w14:paraId="6E5666E5">
            <w:pPr>
              <w:spacing w:line="240" w:lineRule="atLeast"/>
              <w:jc w:val="left"/>
              <w:rPr>
                <w:rFonts w:hint="eastAsia" w:ascii="仿宋_GB2312" w:hAnsi="仿宋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（1）发明专利：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METHOD EMPLOYING AEROSOL TO PERFORM</w:t>
            </w:r>
          </w:p>
          <w:p w14:paraId="2A4A78E5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DISTURBANCE PROCESSING ON SOFT SOIL FOUNDATION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，欧洲，</w:t>
            </w:r>
            <w:r>
              <w:rPr>
                <w:szCs w:val="21"/>
              </w:rPr>
              <w:t>NO.</w:t>
            </w:r>
            <w:r>
              <w:rPr>
                <w:rFonts w:ascii="仿宋_GB2312" w:hAnsi="仿宋" w:eastAsia="仿宋_GB2312"/>
                <w:bCs/>
                <w:sz w:val="24"/>
                <w:szCs w:val="24"/>
              </w:rPr>
              <w:t>3564444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WU,HUIMING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WU, HUIMING</w:t>
            </w:r>
          </w:p>
          <w:p w14:paraId="79E96989">
            <w:pPr>
              <w:adjustRightInd w:val="0"/>
              <w:snapToGrid w:val="0"/>
              <w:jc w:val="left"/>
              <w:rPr>
                <w:rFonts w:ascii="仿宋_GB2312" w:hAnsi="仿宋" w:eastAsia="仿宋_GB2312" w:cs="Calibri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（2）发明专利：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一种应用气溶胶对软土地基进行扰动处理的方法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ZL201611224965.4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271E7CEA">
            <w:pPr>
              <w:adjustRightInd w:val="0"/>
              <w:snapToGrid w:val="0"/>
              <w:jc w:val="left"/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（3）发明专利：一种不同深度扰动结合排水固结的软土地基处理方法，</w:t>
            </w:r>
            <w:r>
              <w:rPr>
                <w:rFonts w:ascii="仿宋_GB2312" w:hAnsi="仿宋" w:eastAsia="仿宋_GB2312" w:cs="Calibri"/>
                <w:color w:val="000000"/>
                <w:sz w:val="24"/>
                <w:szCs w:val="24"/>
              </w:rPr>
              <w:t>ZL201510301241.4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，专利权人：浙江开天工程技术有限公司，发明人：吴慧明;陈洪;林小飞</w:t>
            </w:r>
          </w:p>
          <w:p w14:paraId="259D9BBF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（4）发明专利：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一种用于软土地基扰动处理工序配套的气溶胶发生装置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ZL201710199809.5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7ADB64E2">
            <w:pPr>
              <w:adjustRightInd w:val="0"/>
              <w:snapToGrid w:val="0"/>
              <w:jc w:val="left"/>
              <w:rPr>
                <w:rFonts w:hint="eastAsia" w:ascii="仿宋_GB2312" w:hAnsi="仿宋" w:eastAsia="仿宋_GB2312" w:cs="Calibri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（5）发明专利：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钻头和钻孔设备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ZL201210065128.7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深圳市工勘岩土工程有限公司、深圳市工勘岩土技术股份有限公司、深圳市华兴建安工程有限公司，发明人：张领帅；高健康；宋明智；洪明坚；左人宇；张炜光；张振涛</w:t>
            </w:r>
          </w:p>
          <w:p w14:paraId="3D9A777D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（6）发明专利：重量可调的夯锤，ZL201210065158.8，专利权人：深圳市工勘岩土工程有限公司、深圳市工勘岩土技术股份有限公司、深圳市华兴建安工程有限公司，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发明人：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张领帅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: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高健康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雷斌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周逢君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肖克龙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童宏纲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;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左人宇</w:t>
            </w:r>
          </w:p>
          <w:p w14:paraId="67E792D7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（7）发明专利：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一种研究电渗处理的污染土中重金属离子迁移轨迹的装置及方法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：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ZL20182249007.0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浙江大学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周建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,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张天骄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,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詹芳蕾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,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徐杰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,</w:t>
            </w:r>
            <w:r>
              <w:rPr>
                <w:rFonts w:hint="eastAsia" w:ascii="仿宋_GB2312" w:hAnsi="仿宋" w:eastAsia="仿宋_GB2312" w:cs="Calibri"/>
                <w:sz w:val="24"/>
                <w:szCs w:val="24"/>
              </w:rPr>
              <w:t>甘淇匀</w:t>
            </w:r>
          </w:p>
          <w:p w14:paraId="3F7746A4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（8）发明专利：一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种采用深层气爆与夯击处理软土地区地基</w:t>
            </w: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的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方法，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202010569319.1，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04CE7C75">
            <w:pPr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（9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）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一种分层排水法联合物联变频振碾处理渣土地基的方法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ZL201711233031.1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  <w:p w14:paraId="5D9017CE">
            <w:pPr>
              <w:adjustRightInd w:val="0"/>
              <w:snapToGrid w:val="0"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（10）发明专利：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一种局部真空结合高压气溶胶扰动的软土地基处理方法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ZL201910051985.3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，专利权人：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，发明人：</w:t>
            </w:r>
            <w:r>
              <w:rPr>
                <w:rFonts w:hint="eastAsia" w:ascii="仿宋_GB2312" w:hAnsi="仿宋" w:eastAsia="仿宋_GB2312" w:cs="Calibri"/>
                <w:color w:val="000000"/>
                <w:sz w:val="24"/>
                <w:szCs w:val="24"/>
              </w:rPr>
              <w:t>吴慧明</w:t>
            </w:r>
          </w:p>
        </w:tc>
      </w:tr>
      <w:tr w14:paraId="4E166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  <w:jc w:val="center"/>
        </w:trPr>
        <w:tc>
          <w:tcPr>
            <w:tcW w:w="1843" w:type="dxa"/>
            <w:tcBorders>
              <w:right w:val="single" w:color="auto" w:sz="4" w:space="0"/>
            </w:tcBorders>
            <w:vAlign w:val="center"/>
          </w:tcPr>
          <w:p w14:paraId="0927CD47">
            <w:pPr>
              <w:contextualSpacing/>
              <w:jc w:val="center"/>
              <w:rPr>
                <w:rFonts w:hint="eastAsia"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主要完成人</w:t>
            </w:r>
          </w:p>
        </w:tc>
        <w:tc>
          <w:tcPr>
            <w:tcW w:w="6663" w:type="dxa"/>
            <w:tcBorders>
              <w:left w:val="single" w:color="auto" w:sz="4" w:space="0"/>
            </w:tcBorders>
            <w:vAlign w:val="center"/>
          </w:tcPr>
          <w:p w14:paraId="414E7711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吴慧</w:t>
            </w:r>
            <w:r>
              <w:rPr>
                <w:rFonts w:hint="eastAsia" w:ascii="仿宋_GB2312" w:hAnsi="仿宋" w:eastAsia="仿宋_GB2312" w:cs="___WRD_EMBED_SUB_46"/>
                <w:sz w:val="24"/>
                <w:szCs w:val="24"/>
              </w:rPr>
              <w:t>明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教授级高级工程师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 xml:space="preserve">； </w:t>
            </w:r>
          </w:p>
          <w:p w14:paraId="17115716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___WRD_EMBED_SUB_46"/>
                <w:bCs/>
                <w:sz w:val="24"/>
                <w:szCs w:val="24"/>
              </w:rPr>
              <w:t>周  建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，排名2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，教授，浙江大学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 xml:space="preserve">； </w:t>
            </w:r>
          </w:p>
          <w:p w14:paraId="4ECBCB85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左</w:t>
            </w:r>
            <w:r>
              <w:rPr>
                <w:rFonts w:hint="eastAsia" w:ascii="仿宋_GB2312" w:hAnsi="仿宋" w:eastAsia="仿宋_GB2312" w:cs="___WRD_EMBED_SUB_46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人</w:t>
            </w:r>
            <w:r>
              <w:rPr>
                <w:rFonts w:hint="eastAsia" w:ascii="仿宋_GB2312" w:hAnsi="仿宋" w:eastAsia="仿宋_GB2312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宇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，排名3，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教授级高级工程师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深圳市工勘岩土集团有限公司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 xml:space="preserve">； </w:t>
            </w:r>
          </w:p>
          <w:p w14:paraId="0356C054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hint="eastAsia" w:ascii="仿宋_GB2312" w:hAnsi="仿宋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" w:eastAsia="仿宋_GB2312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林</w:t>
            </w:r>
            <w:r>
              <w:rPr>
                <w:rFonts w:hint="eastAsia" w:ascii="仿宋_GB2312" w:hAnsi="仿宋" w:eastAsia="仿宋_GB2312" w:cs="___WRD_EMBED_SUB_46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小</w:t>
            </w:r>
            <w:r>
              <w:rPr>
                <w:rFonts w:hint="eastAsia" w:ascii="仿宋_GB2312" w:hAnsi="仿宋" w:eastAsia="仿宋_GB2312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飞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，排名4，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高级工程师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 xml:space="preserve">； </w:t>
            </w:r>
          </w:p>
          <w:p w14:paraId="7736B2AF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_GB2312" w:hAnsi="仿宋" w:eastAsia="仿宋_GB2312"/>
                <w:bCs/>
                <w:sz w:val="24"/>
                <w:szCs w:val="24"/>
              </w:rPr>
            </w:pPr>
            <w:r>
              <w:rPr>
                <w:rStyle w:val="38"/>
                <w:rFonts w:hint="eastAsia" w:ascii="仿宋_GB2312" w:eastAsia="仿宋_GB2312"/>
                <w:b w:val="0"/>
                <w:color w:val="auto"/>
              </w:rPr>
              <w:t>陈  洪，排名5，高级工程师，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；</w:t>
            </w:r>
          </w:p>
          <w:p w14:paraId="194A4249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38"/>
                <w:rFonts w:hint="eastAsia" w:ascii="仿宋_GB2312" w:eastAsia="仿宋_GB2312"/>
                <w:b w:val="0"/>
                <w:color w:val="auto"/>
              </w:rPr>
            </w:pP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雷  斌，排名6，教授级高级工程师，</w:t>
            </w: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深圳市工勘岩土集团有限公司</w:t>
            </w:r>
            <w:r>
              <w:rPr>
                <w:rFonts w:hint="eastAsia" w:ascii="仿宋_GB2312" w:hAnsi="仿宋" w:eastAsia="仿宋_GB2312"/>
                <w:bCs/>
                <w:sz w:val="24"/>
                <w:szCs w:val="24"/>
              </w:rPr>
              <w:t>；</w:t>
            </w:r>
          </w:p>
        </w:tc>
      </w:tr>
      <w:tr w14:paraId="237CD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43" w:type="dxa"/>
            <w:tcBorders>
              <w:right w:val="single" w:color="auto" w:sz="4" w:space="0"/>
            </w:tcBorders>
            <w:vAlign w:val="center"/>
          </w:tcPr>
          <w:p w14:paraId="0E35E4A7">
            <w:pPr>
              <w:contextualSpacing/>
              <w:jc w:val="center"/>
              <w:rPr>
                <w:rFonts w:hint="eastAsia"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color="auto" w:sz="4" w:space="0"/>
            </w:tcBorders>
            <w:vAlign w:val="center"/>
          </w:tcPr>
          <w:p w14:paraId="4CC6C09C">
            <w:pPr>
              <w:snapToGrid w:val="0"/>
              <w:jc w:val="left"/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_GB2312" w:hAnsi="仿宋" w:eastAsia="仿宋_GB2312" w:cs="微软雅黑"/>
                <w:bCs/>
                <w:sz w:val="24"/>
                <w:szCs w:val="24"/>
              </w:rPr>
              <w:t>浙江开天工程技术有限公司</w:t>
            </w:r>
          </w:p>
          <w:p w14:paraId="0BCA9DD5">
            <w:pPr>
              <w:snapToGrid w:val="0"/>
              <w:jc w:val="left"/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浙江大学</w:t>
            </w:r>
          </w:p>
          <w:p w14:paraId="4B14C137">
            <w:pPr>
              <w:snapToGrid w:val="0"/>
              <w:jc w:val="left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_GB2312" w:hAnsi="仿宋" w:eastAsia="仿宋_GB2312" w:cs="微软雅黑"/>
                <w:sz w:val="24"/>
                <w:szCs w:val="24"/>
              </w:rPr>
              <w:t>深圳市工勘岩土集团有限公司</w:t>
            </w:r>
          </w:p>
        </w:tc>
      </w:tr>
      <w:tr w14:paraId="665C6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1843" w:type="dxa"/>
            <w:vAlign w:val="center"/>
          </w:tcPr>
          <w:p w14:paraId="78DC402F">
            <w:pPr>
              <w:contextualSpacing/>
              <w:jc w:val="center"/>
              <w:rPr>
                <w:rStyle w:val="38"/>
                <w:rFonts w:hint="eastAsia"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 w14:paraId="1A6CBA61">
            <w:pPr>
              <w:contextualSpacing/>
              <w:jc w:val="center"/>
              <w:rPr>
                <w:rStyle w:val="38"/>
                <w:rFonts w:ascii="仿宋_GB2312" w:eastAsia="仿宋_GB2312"/>
                <w:b w:val="0"/>
                <w:color w:val="auto"/>
              </w:rPr>
            </w:pPr>
            <w:r>
              <w:rPr>
                <w:rStyle w:val="38"/>
                <w:rFonts w:hint="eastAsia" w:ascii="仿宋_GB2312" w:eastAsia="仿宋_GB2312"/>
                <w:b w:val="0"/>
                <w:color w:val="auto"/>
              </w:rPr>
              <w:t>宁波市人民政府</w:t>
            </w:r>
          </w:p>
        </w:tc>
      </w:tr>
      <w:tr w14:paraId="72778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  <w:jc w:val="center"/>
        </w:trPr>
        <w:tc>
          <w:tcPr>
            <w:tcW w:w="1843" w:type="dxa"/>
            <w:vAlign w:val="center"/>
          </w:tcPr>
          <w:p w14:paraId="04EBC9FF">
            <w:pPr>
              <w:contextualSpacing/>
              <w:jc w:val="center"/>
              <w:rPr>
                <w:rStyle w:val="38"/>
                <w:rFonts w:hint="eastAsia"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14:paraId="51BD5734">
            <w:pPr>
              <w:adjustRightInd w:val="0"/>
              <w:snapToGrid w:val="0"/>
              <w:ind w:firstLine="480" w:firstLineChars="200"/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岩土工程是我国国民经济建设与发展基础支撑，80%GDP产出集中于沿海沿江沿湖软土带，受限于极低渗透性与流变特性，软土存在难处理、工期长、消耗大问题；高含水率的弃土弃渣减水减容技术严重缺失，导致迄今无法规模化、资源化处置。项目聚焦国家重大工程建设与环境治理等跨领域面临的共性难题，经过十余年产学研联合攻关，首创了高效低耗的高压气溶胶解构排水固结技术，颠覆传统加压体系及排水体系，突破处理深度极限，实现超快速排水，打破了应用局限，拓展了应用领域。</w:t>
            </w:r>
          </w:p>
          <w:p w14:paraId="67C74905">
            <w:pPr>
              <w:adjustRightInd w:val="0"/>
              <w:snapToGrid w:val="0"/>
              <w:ind w:firstLine="480" w:firstLineChars="200"/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主要发明如下：1、构建了立体增压、立体排水理论，颠覆了传统加压体系及排水体系。2、首创了高压气溶胶土体解构方法及跨领域联合增效应用技术，实现软土及各类特殊土高效排水。3、研发了成套装备工艺全流程工法体系，建立了全产业链规模化标准化应用体系。</w:t>
            </w:r>
          </w:p>
          <w:p w14:paraId="63492A91">
            <w:pPr>
              <w:adjustRightInd w:val="0"/>
              <w:snapToGrid w:val="0"/>
              <w:ind w:firstLine="480" w:firstLineChars="200"/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该技术成功应用于机场、高速公路、围海造地、环境修复、农渔业等众多领域，累计处理面积240万m</w:t>
            </w:r>
            <w:r>
              <w:rPr>
                <w:rFonts w:ascii="Calibri" w:hAnsi="Calibri" w:eastAsia="仿宋_GB2312" w:cs="Calibri"/>
                <w:color w:val="000000"/>
                <w:sz w:val="24"/>
                <w:szCs w:val="24"/>
              </w:rPr>
              <w:t>²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消纳各类弃土/淤泥/疏浚土等固废资源超800万方，实现砂石等自然资源替代，</w:t>
            </w: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节省砂石1800万吨，为保障重大工程建设、推进“无废城市”建设、促进绿色低碳发展提供了强有力的科技支撑，</w:t>
            </w:r>
            <w:r>
              <w:rPr>
                <w:rFonts w:hint="eastAsia" w:ascii="仿宋_GB2312" w:hAnsi="仿宋" w:eastAsia="仿宋_GB2312"/>
                <w:sz w:val="24"/>
                <w:szCs w:val="24"/>
              </w:rPr>
              <w:t>不仅经济效益高，社会与生态效应也极为显著。同时，该技术在美丽河湖治理、河海防淤减淤等领域推广应用前景十分广阔。</w:t>
            </w:r>
          </w:p>
          <w:p w14:paraId="08F2F025">
            <w:pPr>
              <w:ind w:firstLine="480" w:firstLineChars="200"/>
              <w:rPr>
                <w:rFonts w:hint="eastAsia"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color w:val="000000"/>
                <w:sz w:val="24"/>
                <w:szCs w:val="24"/>
              </w:rPr>
              <w:t>项目获授权发明专利48件（含PCT专利15件）、软件著作权3件、省级工法1项、省级及以上奖项4次。项目经钱七虎等院士主持8次鉴定、共计25人次院士参会，技术属于国内外原创，整体达到国际领先水平。</w:t>
            </w:r>
          </w:p>
          <w:p w14:paraId="59AA1118">
            <w:pPr>
              <w:snapToGrid w:val="0"/>
              <w:ind w:firstLine="480" w:firstLineChars="200"/>
              <w:jc w:val="left"/>
              <w:rPr>
                <w:rStyle w:val="38"/>
                <w:rFonts w:ascii="仿宋_GB2312" w:eastAsia="仿宋_GB2312"/>
                <w:b w:val="0"/>
                <w:color w:val="auto"/>
              </w:rPr>
            </w:pPr>
            <w:r>
              <w:rPr>
                <w:rStyle w:val="38"/>
                <w:rFonts w:hint="eastAsia" w:ascii="仿宋_GB2312" w:eastAsia="仿宋_GB2312"/>
                <w:b w:val="0"/>
                <w:color w:val="auto"/>
              </w:rPr>
              <w:t>提名2024年度省技术发明奖一等奖。</w:t>
            </w:r>
          </w:p>
        </w:tc>
      </w:tr>
    </w:tbl>
    <w:p w14:paraId="643C431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2098" w:right="1588" w:bottom="209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9761D36-EAC7-49BE-A8F8-6FD8E278B8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D5FE3F-B69E-426D-9E11-AFECB956C3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05ADDFE-AF61-4906-A974-71D920305F4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6C411CB-332F-45FF-A30A-11B1A7D625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D32DE96-5DCB-4AEF-A038-1B8AE036DA3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8391EB0-CF30-4D00-98E7-B33FBCE8146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8D5A49C-DAC6-48BE-BBB8-4223A1AAEDF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9322BF3-B773-45BE-A6B8-0A2DFE5AFC89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FA2376E1-4448-4C92-84DE-57FD2F709AD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56E3C869-AABD-4FE4-9F8D-89B7F74CC7B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ABB1A9C1-9EAC-4B4A-8029-E34C3738F0F5}"/>
  </w:font>
  <w:font w:name="___WRD_EMBED_SUB_46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2" w:fontKey="{BA209928-2B38-4AF3-8F4D-991BDC9B56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5E827">
    <w:pPr>
      <w:pStyle w:val="10"/>
      <w:jc w:val="center"/>
      <w:rPr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CFCB67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yOTIyN2MyNGEwMTc4ZmUxNDRhNjVjNGMwMGI5Y2QifQ=="/>
  </w:docVars>
  <w:rsids>
    <w:rsidRoot w:val="007C28FF"/>
    <w:rsid w:val="00006056"/>
    <w:rsid w:val="00007BBE"/>
    <w:rsid w:val="000117FA"/>
    <w:rsid w:val="000165DC"/>
    <w:rsid w:val="00024AA7"/>
    <w:rsid w:val="00031E44"/>
    <w:rsid w:val="00033288"/>
    <w:rsid w:val="0004004D"/>
    <w:rsid w:val="00051BE3"/>
    <w:rsid w:val="00053F24"/>
    <w:rsid w:val="000557CF"/>
    <w:rsid w:val="0006546D"/>
    <w:rsid w:val="00066016"/>
    <w:rsid w:val="00067E32"/>
    <w:rsid w:val="00073B46"/>
    <w:rsid w:val="00083906"/>
    <w:rsid w:val="000847FC"/>
    <w:rsid w:val="000929AE"/>
    <w:rsid w:val="000A0FE4"/>
    <w:rsid w:val="000B70B3"/>
    <w:rsid w:val="000C3B47"/>
    <w:rsid w:val="000C632A"/>
    <w:rsid w:val="000F1229"/>
    <w:rsid w:val="000F2CC3"/>
    <w:rsid w:val="000F39E5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E02BA"/>
    <w:rsid w:val="001E79C7"/>
    <w:rsid w:val="001F032B"/>
    <w:rsid w:val="001F2C76"/>
    <w:rsid w:val="001F7F40"/>
    <w:rsid w:val="00203A67"/>
    <w:rsid w:val="00210961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0086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5734B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2B9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35EE7"/>
    <w:rsid w:val="00442705"/>
    <w:rsid w:val="00444A55"/>
    <w:rsid w:val="0044700B"/>
    <w:rsid w:val="0044760A"/>
    <w:rsid w:val="00453528"/>
    <w:rsid w:val="00453C0E"/>
    <w:rsid w:val="00461A90"/>
    <w:rsid w:val="004646A9"/>
    <w:rsid w:val="00474616"/>
    <w:rsid w:val="004820BD"/>
    <w:rsid w:val="00484A1D"/>
    <w:rsid w:val="00484D69"/>
    <w:rsid w:val="004929AC"/>
    <w:rsid w:val="00492EAC"/>
    <w:rsid w:val="004A6419"/>
    <w:rsid w:val="004B33C9"/>
    <w:rsid w:val="004B531C"/>
    <w:rsid w:val="004C2337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B55"/>
    <w:rsid w:val="00500EBD"/>
    <w:rsid w:val="00504232"/>
    <w:rsid w:val="0050638A"/>
    <w:rsid w:val="00510C66"/>
    <w:rsid w:val="00511F4B"/>
    <w:rsid w:val="0051372C"/>
    <w:rsid w:val="00521ED7"/>
    <w:rsid w:val="00524119"/>
    <w:rsid w:val="00524635"/>
    <w:rsid w:val="00526964"/>
    <w:rsid w:val="00532D5A"/>
    <w:rsid w:val="005354E4"/>
    <w:rsid w:val="00544032"/>
    <w:rsid w:val="00552729"/>
    <w:rsid w:val="005663D6"/>
    <w:rsid w:val="0057056C"/>
    <w:rsid w:val="00570701"/>
    <w:rsid w:val="0057087F"/>
    <w:rsid w:val="0057414B"/>
    <w:rsid w:val="0057576E"/>
    <w:rsid w:val="0058367D"/>
    <w:rsid w:val="0058489A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4FA6"/>
    <w:rsid w:val="005E6D32"/>
    <w:rsid w:val="005F0DC8"/>
    <w:rsid w:val="00600FA4"/>
    <w:rsid w:val="00601C90"/>
    <w:rsid w:val="00605720"/>
    <w:rsid w:val="00611BDC"/>
    <w:rsid w:val="006177DC"/>
    <w:rsid w:val="00617DE1"/>
    <w:rsid w:val="00623BD2"/>
    <w:rsid w:val="00626265"/>
    <w:rsid w:val="006269F8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F0C81"/>
    <w:rsid w:val="006F5EED"/>
    <w:rsid w:val="006F6A7C"/>
    <w:rsid w:val="006F7780"/>
    <w:rsid w:val="007116D0"/>
    <w:rsid w:val="00721ACB"/>
    <w:rsid w:val="00725CE5"/>
    <w:rsid w:val="0073019F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C08"/>
    <w:rsid w:val="00756D75"/>
    <w:rsid w:val="00760A58"/>
    <w:rsid w:val="00760EA9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042D8"/>
    <w:rsid w:val="00812C78"/>
    <w:rsid w:val="00813788"/>
    <w:rsid w:val="0081691C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445E"/>
    <w:rsid w:val="00845629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902413"/>
    <w:rsid w:val="0090595F"/>
    <w:rsid w:val="0090670A"/>
    <w:rsid w:val="00906781"/>
    <w:rsid w:val="009211BA"/>
    <w:rsid w:val="00921C84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7DC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61479"/>
    <w:rsid w:val="00A65CD4"/>
    <w:rsid w:val="00A70F4C"/>
    <w:rsid w:val="00A736E3"/>
    <w:rsid w:val="00A848FF"/>
    <w:rsid w:val="00A86D79"/>
    <w:rsid w:val="00A91D7E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03B2"/>
    <w:rsid w:val="00B73F27"/>
    <w:rsid w:val="00B74C14"/>
    <w:rsid w:val="00B92BAD"/>
    <w:rsid w:val="00B9520A"/>
    <w:rsid w:val="00B979F5"/>
    <w:rsid w:val="00BA07A7"/>
    <w:rsid w:val="00BA3056"/>
    <w:rsid w:val="00BA6D49"/>
    <w:rsid w:val="00BB47F3"/>
    <w:rsid w:val="00BD0ED0"/>
    <w:rsid w:val="00BE6C2E"/>
    <w:rsid w:val="00BE7259"/>
    <w:rsid w:val="00C10571"/>
    <w:rsid w:val="00C142E4"/>
    <w:rsid w:val="00C24E7B"/>
    <w:rsid w:val="00C24EE0"/>
    <w:rsid w:val="00C36E42"/>
    <w:rsid w:val="00C3779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855"/>
    <w:rsid w:val="00CF0ED4"/>
    <w:rsid w:val="00CF10A0"/>
    <w:rsid w:val="00CF171B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3EBA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025A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05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3BC2"/>
    <w:rsid w:val="00EA7020"/>
    <w:rsid w:val="00EB2FD4"/>
    <w:rsid w:val="00EB7300"/>
    <w:rsid w:val="00EC5664"/>
    <w:rsid w:val="00ED130C"/>
    <w:rsid w:val="00ED31B6"/>
    <w:rsid w:val="00EE0CE1"/>
    <w:rsid w:val="00EE1078"/>
    <w:rsid w:val="00EE7FC6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2256"/>
    <w:rsid w:val="00F765BA"/>
    <w:rsid w:val="00F81F40"/>
    <w:rsid w:val="00F90789"/>
    <w:rsid w:val="00F90DFB"/>
    <w:rsid w:val="00F91089"/>
    <w:rsid w:val="00F94DE6"/>
    <w:rsid w:val="00FA33E4"/>
    <w:rsid w:val="00FA3ACE"/>
    <w:rsid w:val="00FB0D99"/>
    <w:rsid w:val="00FB523A"/>
    <w:rsid w:val="00FB5471"/>
    <w:rsid w:val="00FB606D"/>
    <w:rsid w:val="00FC18D8"/>
    <w:rsid w:val="00FC5A70"/>
    <w:rsid w:val="00FC7BB3"/>
    <w:rsid w:val="00FC7D4F"/>
    <w:rsid w:val="00FC7D51"/>
    <w:rsid w:val="00FD0CCE"/>
    <w:rsid w:val="00FD3CB2"/>
    <w:rsid w:val="00FE187C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A43ABF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B429E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917CA1"/>
    <w:rsid w:val="2FFC7DCE"/>
    <w:rsid w:val="30517CAB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8F5D75"/>
    <w:rsid w:val="3ABA7D5B"/>
    <w:rsid w:val="3C4F4F38"/>
    <w:rsid w:val="3CE416AE"/>
    <w:rsid w:val="3E43485C"/>
    <w:rsid w:val="3EAD0C0C"/>
    <w:rsid w:val="3F23643C"/>
    <w:rsid w:val="3F7FF403"/>
    <w:rsid w:val="420D168D"/>
    <w:rsid w:val="436C4015"/>
    <w:rsid w:val="43D025F5"/>
    <w:rsid w:val="459C73B1"/>
    <w:rsid w:val="463068AB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C548D6"/>
    <w:rsid w:val="63123A52"/>
    <w:rsid w:val="63441F36"/>
    <w:rsid w:val="641941AB"/>
    <w:rsid w:val="64C701D0"/>
    <w:rsid w:val="64FF0C2E"/>
    <w:rsid w:val="657E0B48"/>
    <w:rsid w:val="660F30F2"/>
    <w:rsid w:val="66FD119D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B474B3"/>
    <w:rsid w:val="7DF77DD2"/>
    <w:rsid w:val="7DFFA53F"/>
    <w:rsid w:val="7EB0669D"/>
    <w:rsid w:val="7F2FE11E"/>
    <w:rsid w:val="7F7BA24F"/>
    <w:rsid w:val="7FAB99E8"/>
    <w:rsid w:val="7FB56661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widowControl/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32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8">
    <w:name w:val="Body Text Indent 2"/>
    <w:basedOn w:val="1"/>
    <w:link w:val="35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9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6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6">
    <w:name w:val="annotation subject"/>
    <w:basedOn w:val="5"/>
    <w:next w:val="5"/>
    <w:link w:val="37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Emphasis"/>
    <w:basedOn w:val="19"/>
    <w:qFormat/>
    <w:uiPriority w:val="20"/>
    <w:rPr>
      <w:i/>
      <w:iCs/>
    </w:rPr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5">
    <w:name w:val="标题 1 字符"/>
    <w:basedOn w:val="1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6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页眉 字符"/>
    <w:basedOn w:val="19"/>
    <w:link w:val="11"/>
    <w:qFormat/>
    <w:uiPriority w:val="0"/>
    <w:rPr>
      <w:sz w:val="18"/>
      <w:szCs w:val="18"/>
    </w:rPr>
  </w:style>
  <w:style w:type="character" w:customStyle="1" w:styleId="28">
    <w:name w:val="页脚 字符"/>
    <w:basedOn w:val="19"/>
    <w:link w:val="10"/>
    <w:qFormat/>
    <w:uiPriority w:val="99"/>
    <w:rPr>
      <w:sz w:val="18"/>
      <w:szCs w:val="18"/>
    </w:rPr>
  </w:style>
  <w:style w:type="paragraph" w:customStyle="1" w:styleId="29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批注文字 字符"/>
    <w:basedOn w:val="19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2">
    <w:name w:val="纯文本 字符"/>
    <w:basedOn w:val="19"/>
    <w:link w:val="7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3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5">
    <w:name w:val="正文文本缩进 2 字符"/>
    <w:basedOn w:val="19"/>
    <w:link w:val="8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6">
    <w:name w:val="标题 字符"/>
    <w:basedOn w:val="19"/>
    <w:link w:val="15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7">
    <w:name w:val="批注主题 字符"/>
    <w:basedOn w:val="31"/>
    <w:link w:val="1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8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9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40">
    <w:name w:val="标题 3 字符"/>
    <w:basedOn w:val="19"/>
    <w:link w:val="4"/>
    <w:semiHidden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1535</Words>
  <Characters>1782</Characters>
  <Lines>156</Lines>
  <Paragraphs>184</Paragraphs>
  <TotalTime>108</TotalTime>
  <ScaleCrop>false</ScaleCrop>
  <LinksUpToDate>false</LinksUpToDate>
  <CharactersWithSpaces>1802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2025-09-11T02:47:00Z</dcterms:created>
  <dc:creator>Administrator</dc:creator>
  <cp:lastModifiedBy>葛格</cp:lastModifiedBy>
  <cp:lastPrinted>2025-09-12T05:30:00Z</cp:lastPrinted>
  <dcterms:modified xsi:type="dcterms:W3CDTF">2025-09-15T09:30:41Z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CE11C00484374A33809F56ABC48C2024_13</vt:lpwstr>
  </property>
  <property fmtid="{D5CDD505-2E9C-101B-9397-08002B2CF9AE}" pid="4" name="KSOTemplateDocerSaveRecord">
    <vt:lpwstr>eyJoZGlkIjoiM2YyOTIyN2MyNGEwMTc4ZmUxNDRhNjVjNGMwMGI5Y2QiLCJ1c2VySWQiOiI0NTc0OTM0MDcifQ==</vt:lpwstr>
  </property>
</Properties>
</file>