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8775" w14:textId="77777777" w:rsidR="00F85F0D" w:rsidRDefault="00000000">
      <w:pPr>
        <w:widowControl/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7B444434" w14:textId="75BE6E95" w:rsidR="00F85F0D" w:rsidRDefault="00000000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F85F0D" w14:paraId="60D2FEDE" w14:textId="77777777">
        <w:trPr>
          <w:trHeight w:val="647"/>
        </w:trPr>
        <w:tc>
          <w:tcPr>
            <w:tcW w:w="2156" w:type="dxa"/>
            <w:vAlign w:val="center"/>
          </w:tcPr>
          <w:p w14:paraId="04F981A5" w14:textId="77777777" w:rsidR="00F85F0D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72EF4911" w14:textId="5276C4CC" w:rsidR="00F85F0D" w:rsidRPr="005A29FB" w:rsidRDefault="005A30AF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5A30AF">
              <w:rPr>
                <w:rFonts w:eastAsia="仿宋_GB2312" w:hint="eastAsia"/>
                <w:sz w:val="24"/>
                <w:szCs w:val="24"/>
              </w:rPr>
              <w:t>通义千问开源大模型关键技术及规模化应用</w:t>
            </w:r>
          </w:p>
        </w:tc>
      </w:tr>
      <w:tr w:rsidR="00F85F0D" w14:paraId="5031F869" w14:textId="77777777">
        <w:trPr>
          <w:trHeight w:val="561"/>
        </w:trPr>
        <w:tc>
          <w:tcPr>
            <w:tcW w:w="2156" w:type="dxa"/>
            <w:vAlign w:val="center"/>
          </w:tcPr>
          <w:p w14:paraId="198887DB" w14:textId="77777777" w:rsidR="00F85F0D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25D0A40B" w14:textId="77777777" w:rsidR="00F85F0D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F85F0D" w14:paraId="42C19E1B" w14:textId="77777777" w:rsidTr="00050ED0">
        <w:trPr>
          <w:trHeight w:val="1894"/>
        </w:trPr>
        <w:tc>
          <w:tcPr>
            <w:tcW w:w="2156" w:type="dxa"/>
            <w:vAlign w:val="center"/>
          </w:tcPr>
          <w:p w14:paraId="2813B9C0" w14:textId="77777777" w:rsidR="00F85F0D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17C9B9EB" w14:textId="77777777" w:rsidR="00F85F0D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30EE2492" w14:textId="77777777" w:rsidR="00F85F0D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14:paraId="0F581F9E" w14:textId="77777777" w:rsidR="00F85F0D" w:rsidRDefault="00000000"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科学技术进步奖：提名书的七、主要知识产权和标准规范目录</w:t>
            </w:r>
            <w:r>
              <w:rPr>
                <w:rFonts w:eastAsia="仿宋_GB2312" w:hint="eastAsia"/>
                <w:bCs/>
                <w:sz w:val="24"/>
                <w:szCs w:val="24"/>
              </w:rPr>
              <w:t>和</w:t>
            </w:r>
            <w:r>
              <w:rPr>
                <w:rFonts w:eastAsia="仿宋_GB2312"/>
                <w:bCs/>
                <w:sz w:val="24"/>
                <w:szCs w:val="24"/>
              </w:rPr>
              <w:t>八、代表性论文专著目录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（两表加起来不超过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0</w:t>
            </w:r>
            <w:r>
              <w:rPr>
                <w:rFonts w:eastAsia="仿宋_GB2312" w:hint="eastAsia"/>
                <w:bCs/>
                <w:sz w:val="24"/>
                <w:szCs w:val="24"/>
              </w:rPr>
              <w:t>件）</w:t>
            </w:r>
          </w:p>
        </w:tc>
      </w:tr>
      <w:tr w:rsidR="00F85F0D" w14:paraId="2409FD0C" w14:textId="77777777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18DB4402" w14:textId="77777777" w:rsidR="00F85F0D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5A770BBB" w14:textId="2104BDB0" w:rsidR="00F85F0D" w:rsidRPr="001D639A" w:rsidRDefault="001D639A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1D639A">
              <w:rPr>
                <w:rFonts w:eastAsia="仿宋_GB2312" w:hint="eastAsia"/>
                <w:bCs/>
                <w:sz w:val="24"/>
                <w:szCs w:val="24"/>
              </w:rPr>
              <w:t>周靖人、林俊旸、赵俊博、林伟、刘大一恒、郁博文、孙建伶、徐栋、钱正平、石洪竺、杨安、惠彬原、白帅</w:t>
            </w:r>
          </w:p>
        </w:tc>
      </w:tr>
      <w:tr w:rsidR="00F85F0D" w14:paraId="7767E7FB" w14:textId="77777777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2E3D6F5B" w14:textId="77777777" w:rsidR="00F85F0D" w:rsidRDefault="00000000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3176D780" w14:textId="2AE98368" w:rsidR="00F85F0D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AB65D6">
              <w:rPr>
                <w:rFonts w:eastAsia="仿宋_GB2312" w:hint="eastAsia"/>
                <w:bCs/>
                <w:sz w:val="24"/>
                <w:szCs w:val="24"/>
              </w:rPr>
              <w:t>阿里云计算有限公司</w:t>
            </w:r>
          </w:p>
          <w:p w14:paraId="37362909" w14:textId="7FEAAB40" w:rsidR="00F85F0D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AB65D6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14:paraId="6C0E3082" w14:textId="58857F4B" w:rsidR="00F85F0D" w:rsidRDefault="0000000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5A30AF" w:rsidRPr="005A30AF">
              <w:rPr>
                <w:rFonts w:eastAsia="仿宋_GB2312" w:hint="eastAsia"/>
                <w:bCs/>
                <w:sz w:val="24"/>
                <w:szCs w:val="24"/>
              </w:rPr>
              <w:t>通义云启（杭州）信息技术有限公司</w:t>
            </w:r>
          </w:p>
        </w:tc>
      </w:tr>
      <w:tr w:rsidR="00F85F0D" w14:paraId="655FA52E" w14:textId="77777777">
        <w:trPr>
          <w:trHeight w:val="692"/>
        </w:trPr>
        <w:tc>
          <w:tcPr>
            <w:tcW w:w="2156" w:type="dxa"/>
            <w:vAlign w:val="center"/>
          </w:tcPr>
          <w:p w14:paraId="683B72A8" w14:textId="77777777" w:rsidR="00F85F0D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4BAA7537" w14:textId="6FC92FCE" w:rsidR="00F85F0D" w:rsidRDefault="00A06831" w:rsidP="00A06831">
            <w:pPr>
              <w:spacing w:line="440" w:lineRule="exact"/>
              <w:jc w:val="center"/>
              <w:rPr>
                <w:rStyle w:val="title1"/>
                <w:b w:val="0"/>
                <w:color w:val="auto"/>
              </w:rPr>
            </w:pPr>
            <w:r w:rsidRPr="00A06831">
              <w:rPr>
                <w:rFonts w:eastAsia="仿宋_GB2312" w:hint="eastAsia"/>
              </w:rPr>
              <w:t>阿里巴巴（中国）有限公司</w:t>
            </w:r>
          </w:p>
        </w:tc>
      </w:tr>
      <w:tr w:rsidR="00F85F0D" w14:paraId="6DB4F928" w14:textId="77777777">
        <w:trPr>
          <w:trHeight w:val="3683"/>
        </w:trPr>
        <w:tc>
          <w:tcPr>
            <w:tcW w:w="2156" w:type="dxa"/>
            <w:vAlign w:val="center"/>
          </w:tcPr>
          <w:p w14:paraId="2150CCA0" w14:textId="77777777" w:rsidR="00F85F0D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14:paraId="5515DEA5" w14:textId="77777777" w:rsidR="005A30AF" w:rsidRDefault="005A30AF" w:rsidP="005A30AF">
            <w:pPr>
              <w:pStyle w:val="a5"/>
              <w:rPr>
                <w:rFonts w:hint="default"/>
                <w:color w:val="000000"/>
                <w:shd w:val="clear" w:color="auto" w:fill="FFFFFF"/>
              </w:rPr>
            </w:pPr>
            <w:r w:rsidRPr="00323567"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在国家</w:t>
            </w:r>
            <w:r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“</w:t>
            </w:r>
            <w:r w:rsidRPr="00323567"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十四五</w:t>
            </w:r>
            <w:r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”</w:t>
            </w:r>
            <w:r w:rsidRPr="00323567"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规划和2035年远景目标纲要中</w:t>
            </w:r>
            <w:r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提出</w:t>
            </w:r>
            <w:r w:rsidRPr="00323567"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，聚焦人工智能关键算法</w:t>
            </w:r>
            <w:r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，</w:t>
            </w:r>
            <w:r>
              <w:rPr>
                <w:color w:val="000000"/>
                <w:shd w:val="clear" w:color="auto" w:fill="FFFFFF"/>
              </w:rPr>
              <w:t>培育壮大人工智能等新兴数字产业，</w:t>
            </w:r>
            <w:r w:rsidRPr="00323567">
              <w:rPr>
                <w:color w:val="000000"/>
                <w:shd w:val="clear" w:color="auto" w:fill="FFFFFF"/>
              </w:rPr>
              <w:t>打造数字经济新优势</w:t>
            </w:r>
            <w:r>
              <w:rPr>
                <w:color w:val="000000"/>
                <w:shd w:val="clear" w:color="auto" w:fill="FFFFFF"/>
              </w:rPr>
              <w:t>。</w:t>
            </w:r>
            <w:r w:rsidRPr="00A90AA1"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2023年中共中央政治局会议指出，要重视通用人工智能发展，营造创新生态，促进人工智能安全发展。</w:t>
            </w:r>
            <w:r>
              <w:rPr>
                <w:color w:val="000000"/>
                <w:shd w:val="clear" w:color="auto" w:fill="FFFFFF"/>
              </w:rPr>
              <w:t>大模型作为当前发展最快速的人工智能前沿技术</w:t>
            </w:r>
            <w:r w:rsidRPr="00323567"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，</w:t>
            </w:r>
            <w:r w:rsidRPr="00323567">
              <w:rPr>
                <w:color w:val="000000"/>
                <w:shd w:val="clear" w:color="auto" w:fill="FFFFFF"/>
              </w:rPr>
              <w:t>代表了国家在</w:t>
            </w:r>
            <w:r>
              <w:rPr>
                <w:color w:val="000000"/>
                <w:shd w:val="clear" w:color="auto" w:fill="FFFFFF"/>
              </w:rPr>
              <w:t>全球科技竞争中的技术创新能力，</w:t>
            </w:r>
            <w:r>
              <w:rPr>
                <w:rFonts w:ascii="Segoe UI" w:hAnsi="Segoe UI" w:cs="Segoe UI"/>
                <w:color w:val="2C2C36"/>
                <w:shd w:val="clear" w:color="auto" w:fill="FFFFFF"/>
              </w:rPr>
              <w:t>对整个科技行业有着深远的影响</w:t>
            </w:r>
            <w:r>
              <w:rPr>
                <w:color w:val="000000"/>
                <w:shd w:val="clear" w:color="auto" w:fill="FFFFFF"/>
              </w:rPr>
              <w:t>。</w:t>
            </w:r>
          </w:p>
          <w:p w14:paraId="430B5069" w14:textId="745E8FA9" w:rsidR="005A30AF" w:rsidRDefault="005A30AF" w:rsidP="005A30AF">
            <w:pPr>
              <w:pStyle w:val="a5"/>
              <w:rPr>
                <w:rFonts w:ascii="宋体" w:hAnsi="宋体" w:cs="Segoe UI" w:hint="default"/>
                <w:color w:val="2C2C36"/>
                <w:szCs w:val="24"/>
                <w:shd w:val="clear" w:color="auto" w:fill="FFFFFF"/>
              </w:rPr>
            </w:pPr>
            <w:r w:rsidRPr="00471021"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2019年</w:t>
            </w:r>
            <w:r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，阿里云</w:t>
            </w:r>
            <w:r w:rsidRPr="00471021"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启动研发的大模型关键技术研发，围绕</w:t>
            </w:r>
            <w:r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数据、</w:t>
            </w:r>
            <w:r w:rsidRPr="00471021"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算力、算法三大人工智能领域核心要素</w:t>
            </w:r>
            <w:r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开展创新与实践，构建了高质量的大模型训练数据集，建设了</w:t>
            </w:r>
            <w:r w:rsidRPr="00465034"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高效的分布</w:t>
            </w:r>
            <w:r w:rsidRPr="00465034"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lastRenderedPageBreak/>
              <w:t>式训练计算平台，设计并研发了多模态大模型并不断提升其能力。最新发布的开源大模型Qwen</w:t>
            </w:r>
            <w:r>
              <w:rPr>
                <w:rFonts w:ascii="宋体" w:hAnsi="宋体" w:cs="Segoe UI" w:hint="default"/>
                <w:color w:val="2C2C36"/>
                <w:szCs w:val="24"/>
                <w:shd w:val="clear" w:color="auto" w:fill="FFFFFF"/>
              </w:rPr>
              <w:t>3</w:t>
            </w:r>
            <w:r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在国内外多个评测榜单中位列开源模型榜首。</w:t>
            </w:r>
          </w:p>
          <w:p w14:paraId="24189846" w14:textId="77777777" w:rsidR="005A30AF" w:rsidRDefault="005A30AF" w:rsidP="005A30AF">
            <w:pPr>
              <w:pStyle w:val="a5"/>
              <w:rPr>
                <w:rFonts w:ascii="宋体" w:hAnsi="宋体" w:cs="Segoe UI" w:hint="default"/>
                <w:color w:val="2C2C36"/>
                <w:szCs w:val="24"/>
                <w:shd w:val="clear" w:color="auto" w:fill="FFFFFF"/>
              </w:rPr>
            </w:pPr>
            <w:r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本项目成果</w:t>
            </w:r>
            <w:r w:rsidRPr="00471021"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不仅代表着阿里云在人工智能领域的重大突破，而且为阿里巴巴集团带来了前所未有的竞争优势。在内部业务方面，阿里巴巴已将本项目成果成功应用于多个核心业务线中，包括电子商务、云计算、文娱、物流</w:t>
            </w:r>
            <w:r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、智能办公</w:t>
            </w:r>
            <w:r w:rsidRPr="00471021"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等领域。</w:t>
            </w:r>
          </w:p>
          <w:p w14:paraId="33C6D3B8" w14:textId="288487A3" w:rsidR="00F85F0D" w:rsidRPr="005A30AF" w:rsidRDefault="005A30AF" w:rsidP="005A30AF">
            <w:pPr>
              <w:pStyle w:val="a5"/>
              <w:rPr>
                <w:rStyle w:val="title1"/>
                <w:rFonts w:ascii="宋体" w:hAnsi="宋体" w:cs="Segoe UI" w:hint="default"/>
                <w:b w:val="0"/>
                <w:bCs w:val="0"/>
                <w:color w:val="2C2C36"/>
                <w:shd w:val="clear" w:color="auto" w:fill="FFFFFF"/>
              </w:rPr>
            </w:pPr>
            <w:r w:rsidRPr="00162222">
              <w:rPr>
                <w:rFonts w:ascii="宋体" w:hAnsi="宋体" w:cs="Segoe UI"/>
                <w:color w:val="2C2C36"/>
                <w:szCs w:val="24"/>
                <w:shd w:val="clear" w:color="auto" w:fill="FFFFFF"/>
              </w:rPr>
              <w:t>更重要的是，阿里云的大模型关键技术在推动开源生态建设方面起到了重要作用。技术生态和产业生态是AI竞争的主战场，关键在于开源开放。本项目开源大模型系列成果，降低了中小型企业进入人工智能领域的门槛，创新了大量的新模型和业务应用，促进国际间合作与交流，有助于中国与全球开发者共同探索人工智能的无限可能。</w:t>
            </w:r>
          </w:p>
        </w:tc>
      </w:tr>
    </w:tbl>
    <w:p w14:paraId="2E47D824" w14:textId="77777777" w:rsidR="00F85F0D" w:rsidRDefault="00F85F0D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  <w:sectPr w:rsidR="00F85F0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F6E0350" w14:textId="77777777" w:rsidR="00F85F0D" w:rsidRDefault="00000000">
      <w:pPr>
        <w:pStyle w:val="a3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主要知识产权和标准规范目录</w:t>
      </w:r>
    </w:p>
    <w:tbl>
      <w:tblPr>
        <w:tblW w:w="11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480"/>
        <w:gridCol w:w="1089"/>
        <w:gridCol w:w="1447"/>
        <w:gridCol w:w="1927"/>
        <w:gridCol w:w="1810"/>
        <w:gridCol w:w="1749"/>
      </w:tblGrid>
      <w:tr w:rsidR="00B31AC0" w14:paraId="5AC38B85" w14:textId="77777777" w:rsidTr="00B31AC0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0FC5" w14:textId="77777777" w:rsidR="00B31AC0" w:rsidRDefault="00B31AC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2AA3CE36" w14:textId="77777777" w:rsidR="00B31AC0" w:rsidRDefault="00B31AC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B8B1" w14:textId="77777777" w:rsidR="00B31AC0" w:rsidRDefault="00B31AC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5EA8" w14:textId="77777777" w:rsidR="00B31AC0" w:rsidRDefault="00B31AC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3AC80C47" w14:textId="77777777" w:rsidR="00B31AC0" w:rsidRDefault="00B31AC0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D0F1" w14:textId="77777777" w:rsidR="00B31AC0" w:rsidRDefault="00B31AC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39DB7C87" w14:textId="77777777" w:rsidR="00B31AC0" w:rsidRDefault="00B31AC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D727" w14:textId="77777777" w:rsidR="00B31AC0" w:rsidRDefault="00B31AC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AAB2" w14:textId="77777777" w:rsidR="00B31AC0" w:rsidRDefault="00B31AC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12A2" w14:textId="77777777" w:rsidR="00B31AC0" w:rsidRDefault="00B31AC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:rsidR="00B31AC0" w14:paraId="726B1EED" w14:textId="77777777" w:rsidTr="00B31AC0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B6F8" w14:textId="4727904D" w:rsidR="00B31AC0" w:rsidRDefault="004627C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发明专利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6FF" w14:textId="77777777" w:rsidR="004627C0" w:rsidRPr="00ED1F4C" w:rsidRDefault="004627C0" w:rsidP="00ED1F4C">
            <w:pPr>
              <w:rPr>
                <w:rFonts w:ascii="仿宋" w:eastAsia="仿宋" w:hAnsi="仿宋"/>
                <w:sz w:val="24"/>
                <w:szCs w:val="24"/>
              </w:rPr>
            </w:pPr>
            <w:r w:rsidRPr="00ED1F4C">
              <w:rPr>
                <w:rFonts w:ascii="仿宋" w:eastAsia="仿宋" w:hAnsi="仿宋" w:hint="eastAsia"/>
                <w:sz w:val="24"/>
                <w:szCs w:val="24"/>
              </w:rPr>
              <w:t>人机交互的数据处理方法、服务器及存储介质</w:t>
            </w:r>
          </w:p>
          <w:p w14:paraId="40C84BD1" w14:textId="77777777" w:rsidR="00B31AC0" w:rsidRPr="004627C0" w:rsidRDefault="00B31AC0" w:rsidP="00ED1F4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734" w14:textId="2F0CB7B3" w:rsidR="00B31AC0" w:rsidRDefault="004627C0" w:rsidP="00ED1F4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DD68" w14:textId="2FC61B33" w:rsidR="00B31AC0" w:rsidRDefault="004627C0" w:rsidP="00ED1F4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ZL</w:t>
            </w:r>
            <w:r w:rsidRPr="00ED1F4C">
              <w:rPr>
                <w:rFonts w:ascii="仿宋" w:eastAsia="仿宋" w:hAnsi="仿宋" w:hint="eastAsia"/>
                <w:sz w:val="24"/>
                <w:szCs w:val="24"/>
              </w:rPr>
              <w:t>202311618092.5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BE9D" w14:textId="3E2346F8" w:rsidR="00B31AC0" w:rsidRDefault="004627C0" w:rsidP="00ED1F4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阿里云计算有限公司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5B1C" w14:textId="19BC04D7" w:rsidR="004627C0" w:rsidRPr="00ED1F4C" w:rsidRDefault="004627C0" w:rsidP="00ED1F4C">
            <w:pPr>
              <w:rPr>
                <w:rFonts w:ascii="仿宋" w:eastAsia="仿宋" w:hAnsi="仿宋"/>
                <w:sz w:val="24"/>
                <w:szCs w:val="24"/>
              </w:rPr>
            </w:pPr>
            <w:r w:rsidRPr="00ED1F4C">
              <w:rPr>
                <w:rFonts w:ascii="仿宋" w:eastAsia="仿宋" w:hAnsi="仿宋" w:hint="eastAsia"/>
                <w:sz w:val="24"/>
                <w:szCs w:val="24"/>
              </w:rPr>
              <w:t>张一昌,刘高,林俊旸,周畅,周靖人</w:t>
            </w:r>
          </w:p>
          <w:p w14:paraId="1FF57317" w14:textId="77777777" w:rsidR="00B31AC0" w:rsidRDefault="00B31AC0" w:rsidP="00ED1F4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FBF8" w14:textId="3BB3DC8C" w:rsidR="00B31AC0" w:rsidRDefault="004627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有效</w:t>
            </w:r>
          </w:p>
        </w:tc>
      </w:tr>
      <w:tr w:rsidR="00B31AC0" w14:paraId="394F2D53" w14:textId="77777777" w:rsidTr="00B31AC0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5B47" w14:textId="77777777" w:rsidR="00B31AC0" w:rsidRDefault="00B31AC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发明专利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6871" w14:textId="3268B989" w:rsidR="00B31AC0" w:rsidRPr="00ED1F4C" w:rsidRDefault="004627C0" w:rsidP="00ED1F4C">
            <w:pPr>
              <w:rPr>
                <w:rFonts w:ascii="仿宋" w:eastAsia="仿宋" w:hAnsi="仿宋"/>
                <w:sz w:val="24"/>
                <w:szCs w:val="24"/>
              </w:rPr>
            </w:pPr>
            <w:r w:rsidRPr="00ED1F4C">
              <w:rPr>
                <w:rFonts w:ascii="仿宋" w:eastAsia="仿宋" w:hAnsi="仿宋" w:hint="eastAsia"/>
                <w:sz w:val="24"/>
                <w:szCs w:val="24"/>
              </w:rPr>
              <w:t>预训练服务系统及基于预训练服务系统的服务提供方法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92FD" w14:textId="77777777" w:rsidR="00B31AC0" w:rsidRDefault="00B31AC0" w:rsidP="00ED1F4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C8E0" w14:textId="72675E3A" w:rsidR="00B31AC0" w:rsidRPr="00B31AC0" w:rsidRDefault="00B31AC0" w:rsidP="00ED1F4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ZL</w:t>
            </w:r>
            <w:r w:rsidR="00641602" w:rsidRPr="00ED1F4C">
              <w:rPr>
                <w:rFonts w:ascii="仿宋" w:eastAsia="仿宋" w:hAnsi="仿宋" w:hint="eastAsia"/>
                <w:sz w:val="24"/>
                <w:szCs w:val="24"/>
              </w:rPr>
              <w:t>202210353465.X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C7CD" w14:textId="77777777" w:rsidR="00641602" w:rsidRPr="00ED1F4C" w:rsidRDefault="00641602" w:rsidP="00ED1F4C">
            <w:pPr>
              <w:rPr>
                <w:rFonts w:ascii="仿宋" w:eastAsia="仿宋" w:hAnsi="仿宋"/>
                <w:sz w:val="24"/>
                <w:szCs w:val="24"/>
              </w:rPr>
            </w:pPr>
            <w:r w:rsidRPr="00ED1F4C">
              <w:rPr>
                <w:rFonts w:ascii="仿宋" w:eastAsia="仿宋" w:hAnsi="仿宋" w:hint="eastAsia"/>
                <w:sz w:val="24"/>
                <w:szCs w:val="24"/>
              </w:rPr>
              <w:t>阿里巴巴达摩院（杭州）科技有限公司</w:t>
            </w:r>
          </w:p>
          <w:p w14:paraId="0E71C30B" w14:textId="5665D9B8" w:rsidR="00B31AC0" w:rsidRPr="00641602" w:rsidRDefault="00B31AC0" w:rsidP="00ED1F4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435B" w14:textId="5BC91404" w:rsidR="00B31AC0" w:rsidRPr="004627C0" w:rsidRDefault="00641602" w:rsidP="00ED1F4C">
            <w:pPr>
              <w:rPr>
                <w:rFonts w:ascii="仿宋" w:eastAsia="仿宋" w:hAnsi="仿宋"/>
                <w:sz w:val="24"/>
                <w:szCs w:val="24"/>
              </w:rPr>
            </w:pPr>
            <w:r w:rsidRPr="00ED1F4C">
              <w:rPr>
                <w:rFonts w:ascii="仿宋" w:eastAsia="仿宋" w:hAnsi="仿宋" w:hint="eastAsia"/>
                <w:sz w:val="24"/>
                <w:szCs w:val="24"/>
              </w:rPr>
              <w:t>门睿,周畅,王鹏,张一昌,林俊旸,杨安,李永,林伟,丁铭,邹旭,杜政晓,唐杰,杨红霞,周靖人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C309" w14:textId="77777777" w:rsidR="00B31AC0" w:rsidRDefault="00B3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有效</w:t>
            </w:r>
          </w:p>
        </w:tc>
      </w:tr>
      <w:tr w:rsidR="00B31AC0" w14:paraId="618C6D35" w14:textId="77777777" w:rsidTr="00B31AC0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910" w14:textId="77777777" w:rsidR="00B31AC0" w:rsidRDefault="00B31AC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发明专利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9178" w14:textId="40609757" w:rsidR="00B31AC0" w:rsidRPr="00641602" w:rsidRDefault="00641602">
            <w:pPr>
              <w:rPr>
                <w:rFonts w:ascii="仿宋" w:eastAsia="仿宋" w:hAnsi="仿宋"/>
                <w:sz w:val="24"/>
                <w:szCs w:val="24"/>
              </w:rPr>
            </w:pPr>
            <w:r w:rsidRPr="00641602">
              <w:rPr>
                <w:rFonts w:ascii="仿宋" w:eastAsia="仿宋" w:hAnsi="仿宋" w:hint="eastAsia"/>
                <w:sz w:val="24"/>
                <w:szCs w:val="24"/>
              </w:rPr>
              <w:t>模型训练方法及计算系统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8D72" w14:textId="1C32E1B3" w:rsidR="00B31AC0" w:rsidRDefault="0064160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3AFC" w14:textId="790C85D5" w:rsidR="00B31AC0" w:rsidRDefault="0064160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ZL</w:t>
            </w:r>
            <w:r w:rsidRPr="00ED1F4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641602">
              <w:rPr>
                <w:rFonts w:ascii="仿宋" w:eastAsia="仿宋" w:hAnsi="仿宋"/>
                <w:sz w:val="24"/>
                <w:szCs w:val="24"/>
              </w:rPr>
              <w:t>202110827079.5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1F90" w14:textId="130C79D9" w:rsidR="00B31AC0" w:rsidRDefault="00641602">
            <w:pPr>
              <w:rPr>
                <w:rFonts w:ascii="仿宋" w:eastAsia="仿宋" w:hAnsi="仿宋"/>
                <w:sz w:val="24"/>
                <w:szCs w:val="24"/>
              </w:rPr>
            </w:pPr>
            <w:r w:rsidRPr="00641602">
              <w:rPr>
                <w:rFonts w:ascii="仿宋" w:eastAsia="仿宋" w:hAnsi="仿宋" w:hint="eastAsia"/>
                <w:sz w:val="24"/>
                <w:szCs w:val="24"/>
              </w:rPr>
              <w:t>阿里巴巴达摩院（杭州）科技有限公司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A503" w14:textId="2C6A0959" w:rsidR="00B31AC0" w:rsidRPr="00ED1F4C" w:rsidRDefault="00641602" w:rsidP="00641602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ED1F4C">
              <w:rPr>
                <w:rFonts w:ascii="仿宋" w:eastAsia="仿宋" w:hAnsi="仿宋" w:hint="eastAsia"/>
                <w:sz w:val="24"/>
                <w:szCs w:val="24"/>
              </w:rPr>
              <w:t>杨健邦,陈榕,王磊,尹强,于文渊,周靖人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4BCB" w14:textId="77777777" w:rsidR="00B31AC0" w:rsidRDefault="00B3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有效</w:t>
            </w:r>
          </w:p>
        </w:tc>
      </w:tr>
      <w:tr w:rsidR="00B31AC0" w14:paraId="6D9B9471" w14:textId="77777777" w:rsidTr="00B31AC0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6883" w14:textId="77777777" w:rsidR="00B31AC0" w:rsidRDefault="00B31AC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发明专利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56C3" w14:textId="08622B80" w:rsidR="00B31AC0" w:rsidRPr="00ED1F4C" w:rsidRDefault="00641602" w:rsidP="00ED1F4C">
            <w:pPr>
              <w:rPr>
                <w:rFonts w:ascii="仿宋" w:eastAsia="仿宋" w:hAnsi="仿宋"/>
                <w:sz w:val="24"/>
                <w:szCs w:val="24"/>
              </w:rPr>
            </w:pPr>
            <w:r w:rsidRPr="00ED1F4C">
              <w:rPr>
                <w:rFonts w:ascii="仿宋" w:eastAsia="仿宋" w:hAnsi="仿宋" w:hint="eastAsia"/>
                <w:sz w:val="24"/>
                <w:szCs w:val="24"/>
              </w:rPr>
              <w:t>下游任务模型生成及任务执行的方法和设备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4344" w14:textId="2DB184A2" w:rsidR="00B31AC0" w:rsidRDefault="00641602" w:rsidP="00ED1F4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6A0F" w14:textId="77777777" w:rsidR="00641602" w:rsidRDefault="00641602" w:rsidP="00ED1F4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ZL</w:t>
            </w:r>
          </w:p>
          <w:p w14:paraId="271E6C09" w14:textId="463437B0" w:rsidR="00B31AC0" w:rsidRDefault="00641602" w:rsidP="00ED1F4C">
            <w:pPr>
              <w:rPr>
                <w:rFonts w:ascii="仿宋" w:eastAsia="仿宋" w:hAnsi="仿宋"/>
                <w:sz w:val="24"/>
                <w:szCs w:val="24"/>
              </w:rPr>
            </w:pPr>
            <w:r w:rsidRPr="00ED1F4C">
              <w:rPr>
                <w:rFonts w:ascii="仿宋" w:eastAsia="仿宋" w:hAnsi="仿宋" w:hint="eastAsia"/>
                <w:sz w:val="24"/>
                <w:szCs w:val="24"/>
              </w:rPr>
              <w:t>202211387996.7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97B5" w14:textId="5C4929D6" w:rsidR="00B31AC0" w:rsidRPr="00ED1F4C" w:rsidRDefault="00641602" w:rsidP="00ED1F4C">
            <w:pPr>
              <w:rPr>
                <w:rFonts w:ascii="仿宋" w:eastAsia="仿宋" w:hAnsi="仿宋"/>
                <w:sz w:val="24"/>
                <w:szCs w:val="24"/>
              </w:rPr>
            </w:pPr>
            <w:r w:rsidRPr="00ED1F4C">
              <w:rPr>
                <w:rFonts w:ascii="仿宋" w:eastAsia="仿宋" w:hAnsi="仿宋" w:hint="eastAsia"/>
                <w:sz w:val="24"/>
                <w:szCs w:val="24"/>
              </w:rPr>
              <w:t>阿里巴巴达摩院（杭州）科技有限公司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9440" w14:textId="77777777" w:rsidR="00641602" w:rsidRPr="00ED1F4C" w:rsidRDefault="00641602" w:rsidP="00ED1F4C">
            <w:pPr>
              <w:rPr>
                <w:rFonts w:ascii="仿宋" w:eastAsia="仿宋" w:hAnsi="仿宋"/>
                <w:sz w:val="24"/>
                <w:szCs w:val="24"/>
              </w:rPr>
            </w:pPr>
            <w:r w:rsidRPr="00ED1F4C">
              <w:rPr>
                <w:rFonts w:ascii="仿宋" w:eastAsia="仿宋" w:hAnsi="仿宋" w:hint="eastAsia"/>
                <w:sz w:val="24"/>
                <w:szCs w:val="24"/>
              </w:rPr>
              <w:t>杨浩,林俊旸,杨安,王鹏,周畅,杨红霞</w:t>
            </w:r>
          </w:p>
          <w:p w14:paraId="6836A5D6" w14:textId="26B7FC1D" w:rsidR="00B31AC0" w:rsidRPr="00641602" w:rsidRDefault="00B31AC0" w:rsidP="00ED1F4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ED98" w14:textId="77777777" w:rsidR="00B31AC0" w:rsidRDefault="00B3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有效</w:t>
            </w:r>
          </w:p>
        </w:tc>
      </w:tr>
      <w:tr w:rsidR="00B31AC0" w14:paraId="79A29F2E" w14:textId="77777777" w:rsidTr="00B31AC0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A40C" w14:textId="77777777" w:rsidR="00B31AC0" w:rsidRDefault="00B31AC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发明专利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A672" w14:textId="77777777" w:rsidR="00641602" w:rsidRPr="00ED1F4C" w:rsidRDefault="00641602" w:rsidP="00ED1F4C">
            <w:pPr>
              <w:rPr>
                <w:rFonts w:ascii="仿宋" w:eastAsia="仿宋" w:hAnsi="仿宋"/>
                <w:sz w:val="24"/>
                <w:szCs w:val="24"/>
              </w:rPr>
            </w:pPr>
            <w:r w:rsidRPr="00ED1F4C">
              <w:rPr>
                <w:rFonts w:ascii="仿宋" w:eastAsia="仿宋" w:hAnsi="仿宋" w:hint="eastAsia"/>
                <w:sz w:val="24"/>
                <w:szCs w:val="24"/>
              </w:rPr>
              <w:t>多模态多任务的处理方法、设备及系统</w:t>
            </w:r>
          </w:p>
          <w:p w14:paraId="3B94108A" w14:textId="2431B43D" w:rsidR="00B31AC0" w:rsidRPr="00641602" w:rsidRDefault="00B31AC0" w:rsidP="00ED1F4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01B" w14:textId="4F41AFD8" w:rsidR="00B31AC0" w:rsidRDefault="00641602" w:rsidP="00ED1F4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2531" w14:textId="34D11CA2" w:rsidR="00641602" w:rsidRPr="00ED1F4C" w:rsidRDefault="00641602" w:rsidP="00ED1F4C">
            <w:pPr>
              <w:rPr>
                <w:rFonts w:ascii="仿宋" w:eastAsia="仿宋" w:hAnsi="仿宋"/>
                <w:sz w:val="24"/>
                <w:szCs w:val="24"/>
              </w:rPr>
            </w:pPr>
            <w:r w:rsidRPr="00ED1F4C">
              <w:rPr>
                <w:rFonts w:ascii="仿宋" w:eastAsia="仿宋" w:hAnsi="仿宋" w:hint="eastAsia"/>
                <w:sz w:val="24"/>
                <w:szCs w:val="24"/>
              </w:rPr>
              <w:t>ZL202210746272.0</w:t>
            </w:r>
          </w:p>
          <w:p w14:paraId="764CEAB5" w14:textId="4CA71452" w:rsidR="00B31AC0" w:rsidRDefault="00B31AC0" w:rsidP="00ED1F4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A51" w14:textId="2B7E917A" w:rsidR="00B31AC0" w:rsidRPr="00ED1F4C" w:rsidRDefault="00641602" w:rsidP="00ED1F4C">
            <w:pPr>
              <w:rPr>
                <w:rFonts w:ascii="仿宋" w:eastAsia="仿宋" w:hAnsi="仿宋"/>
                <w:sz w:val="24"/>
                <w:szCs w:val="24"/>
              </w:rPr>
            </w:pPr>
            <w:r w:rsidRPr="00ED1F4C">
              <w:rPr>
                <w:rFonts w:ascii="仿宋" w:eastAsia="仿宋" w:hAnsi="仿宋" w:hint="eastAsia"/>
                <w:sz w:val="24"/>
                <w:szCs w:val="24"/>
              </w:rPr>
              <w:t>阿里巴巴达摩院（杭州）科技有限公司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338C" w14:textId="77777777" w:rsidR="00641602" w:rsidRPr="00ED1F4C" w:rsidRDefault="00641602" w:rsidP="00ED1F4C">
            <w:pPr>
              <w:rPr>
                <w:rFonts w:ascii="仿宋" w:eastAsia="仿宋" w:hAnsi="仿宋"/>
                <w:sz w:val="24"/>
                <w:szCs w:val="24"/>
              </w:rPr>
            </w:pPr>
            <w:r w:rsidRPr="00ED1F4C">
              <w:rPr>
                <w:rFonts w:ascii="仿宋" w:eastAsia="仿宋" w:hAnsi="仿宋" w:hint="eastAsia"/>
                <w:sz w:val="24"/>
                <w:szCs w:val="24"/>
              </w:rPr>
              <w:t>周畅,白金泽,王鹏,杨安,林俊旸,杨红霞,周靖人</w:t>
            </w:r>
          </w:p>
          <w:p w14:paraId="7C06B137" w14:textId="398FC127" w:rsidR="00B31AC0" w:rsidRPr="00641602" w:rsidRDefault="00B31AC0" w:rsidP="00ED1F4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893D" w14:textId="77777777" w:rsidR="00B31AC0" w:rsidRDefault="00B31A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有效</w:t>
            </w:r>
          </w:p>
        </w:tc>
      </w:tr>
    </w:tbl>
    <w:p w14:paraId="222A6784" w14:textId="77777777" w:rsidR="00F85F0D" w:rsidRDefault="00F85F0D">
      <w:pPr>
        <w:widowControl/>
        <w:jc w:val="left"/>
        <w:rPr>
          <w:rFonts w:eastAsia="仿宋_GB2312"/>
          <w:sz w:val="32"/>
          <w:szCs w:val="32"/>
        </w:rPr>
        <w:sectPr w:rsidR="00F85F0D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16357F02" w14:textId="77777777" w:rsidR="00F85F0D" w:rsidRDefault="00000000">
      <w:pPr>
        <w:pStyle w:val="a3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代表性论文专著目录</w:t>
      </w:r>
    </w:p>
    <w:tbl>
      <w:tblPr>
        <w:tblW w:w="8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3789"/>
        <w:gridCol w:w="963"/>
        <w:gridCol w:w="775"/>
        <w:gridCol w:w="850"/>
      </w:tblGrid>
      <w:tr w:rsidR="00F85F0D" w14:paraId="039621BA" w14:textId="77777777" w:rsidTr="00C674E4">
        <w:trPr>
          <w:trHeight w:hRule="exact" w:val="1400"/>
          <w:jc w:val="center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61B1D" w14:textId="77777777" w:rsidR="00F85F0D" w:rsidRDefault="00000000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作</w:t>
            </w:r>
            <w:r>
              <w:rPr>
                <w:rFonts w:eastAsia="仿宋_GB2312"/>
                <w:sz w:val="24"/>
                <w:szCs w:val="22"/>
              </w:rPr>
              <w:t xml:space="preserve"> </w:t>
            </w:r>
            <w:r>
              <w:rPr>
                <w:rFonts w:eastAsia="仿宋_GB2312"/>
                <w:sz w:val="24"/>
                <w:szCs w:val="22"/>
              </w:rPr>
              <w:t>者</w:t>
            </w:r>
          </w:p>
        </w:tc>
        <w:tc>
          <w:tcPr>
            <w:tcW w:w="37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AE188" w14:textId="77777777" w:rsidR="00F85F0D" w:rsidRDefault="00000000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论文专著名称</w:t>
            </w:r>
            <w:r>
              <w:rPr>
                <w:rFonts w:eastAsia="仿宋_GB2312"/>
                <w:sz w:val="24"/>
                <w:szCs w:val="22"/>
              </w:rPr>
              <w:t>/</w:t>
            </w:r>
            <w:r>
              <w:rPr>
                <w:rFonts w:eastAsia="仿宋_GB2312"/>
                <w:sz w:val="24"/>
                <w:szCs w:val="22"/>
              </w:rPr>
              <w:t>刊物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AE883" w14:textId="77777777" w:rsidR="00F85F0D" w:rsidRDefault="00000000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年卷</w:t>
            </w:r>
          </w:p>
          <w:p w14:paraId="4406B5B8" w14:textId="77777777" w:rsidR="00F85F0D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2"/>
              </w:rPr>
              <w:t>页码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1C4C" w14:textId="77777777" w:rsidR="00F85F0D" w:rsidRDefault="00000000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发表</w:t>
            </w:r>
          </w:p>
          <w:p w14:paraId="5E288240" w14:textId="77777777" w:rsidR="00F85F0D" w:rsidRDefault="00000000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时间</w:t>
            </w:r>
          </w:p>
          <w:p w14:paraId="5319A7A4" w14:textId="77777777" w:rsidR="00F85F0D" w:rsidRDefault="00000000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（年、月）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28FB" w14:textId="77777777" w:rsidR="00F85F0D" w:rsidRDefault="00000000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他引</w:t>
            </w:r>
          </w:p>
          <w:p w14:paraId="50CDD5F6" w14:textId="77777777" w:rsidR="00F85F0D" w:rsidRDefault="00000000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总次数</w:t>
            </w:r>
          </w:p>
        </w:tc>
      </w:tr>
      <w:tr w:rsidR="00F85F0D" w14:paraId="57FAC909" w14:textId="77777777">
        <w:trPr>
          <w:trHeight w:hRule="exact" w:val="2019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88A81" w14:textId="49C19F74" w:rsidR="00F85F0D" w:rsidRDefault="00641602">
            <w:pPr>
              <w:rPr>
                <w:rFonts w:eastAsia="仿宋"/>
                <w:sz w:val="24"/>
                <w:szCs w:val="24"/>
              </w:rPr>
            </w:pPr>
            <w:r w:rsidRPr="00641602">
              <w:rPr>
                <w:rFonts w:eastAsia="仿宋"/>
                <w:sz w:val="24"/>
                <w:szCs w:val="24"/>
              </w:rPr>
              <w:t xml:space="preserve">Ru Peng, </w:t>
            </w:r>
            <w:proofErr w:type="spellStart"/>
            <w:r w:rsidRPr="00641602">
              <w:rPr>
                <w:rFonts w:eastAsia="仿宋"/>
                <w:sz w:val="24"/>
                <w:szCs w:val="24"/>
              </w:rPr>
              <w:t>Kexin</w:t>
            </w:r>
            <w:proofErr w:type="spellEnd"/>
            <w:r w:rsidRPr="00641602">
              <w:rPr>
                <w:rFonts w:eastAsia="仿宋"/>
                <w:sz w:val="24"/>
                <w:szCs w:val="24"/>
              </w:rPr>
              <w:t xml:space="preserve"> Yang, </w:t>
            </w:r>
            <w:proofErr w:type="spellStart"/>
            <w:r w:rsidRPr="00641602">
              <w:rPr>
                <w:rFonts w:eastAsia="仿宋"/>
                <w:sz w:val="24"/>
                <w:szCs w:val="24"/>
              </w:rPr>
              <w:t>Yawen</w:t>
            </w:r>
            <w:proofErr w:type="spellEnd"/>
            <w:r w:rsidRPr="00641602">
              <w:rPr>
                <w:rFonts w:eastAsia="仿宋"/>
                <w:sz w:val="24"/>
                <w:szCs w:val="24"/>
              </w:rPr>
              <w:t xml:space="preserve"> Zeng, </w:t>
            </w:r>
            <w:proofErr w:type="spellStart"/>
            <w:r w:rsidRPr="00641602">
              <w:rPr>
                <w:rFonts w:eastAsia="仿宋"/>
                <w:sz w:val="24"/>
                <w:szCs w:val="24"/>
              </w:rPr>
              <w:t>Junyang</w:t>
            </w:r>
            <w:proofErr w:type="spellEnd"/>
            <w:r w:rsidRPr="00641602">
              <w:rPr>
                <w:rFonts w:eastAsia="仿宋"/>
                <w:sz w:val="24"/>
                <w:szCs w:val="24"/>
              </w:rPr>
              <w:t xml:space="preserve"> Lin, </w:t>
            </w:r>
            <w:proofErr w:type="spellStart"/>
            <w:r w:rsidRPr="00641602">
              <w:rPr>
                <w:rFonts w:eastAsia="仿宋"/>
                <w:sz w:val="24"/>
                <w:szCs w:val="24"/>
              </w:rPr>
              <w:t>Dayiheng</w:t>
            </w:r>
            <w:proofErr w:type="spellEnd"/>
            <w:r w:rsidRPr="00641602">
              <w:rPr>
                <w:rFonts w:eastAsia="仿宋"/>
                <w:sz w:val="24"/>
                <w:szCs w:val="24"/>
              </w:rPr>
              <w:t xml:space="preserve"> Liu, </w:t>
            </w:r>
            <w:proofErr w:type="spellStart"/>
            <w:r w:rsidRPr="00641602">
              <w:rPr>
                <w:rFonts w:eastAsia="仿宋"/>
                <w:sz w:val="24"/>
                <w:szCs w:val="24"/>
              </w:rPr>
              <w:t>Junbo</w:t>
            </w:r>
            <w:proofErr w:type="spellEnd"/>
            <w:r w:rsidRPr="00641602">
              <w:rPr>
                <w:rFonts w:eastAsia="仿宋"/>
                <w:sz w:val="24"/>
                <w:szCs w:val="24"/>
              </w:rPr>
              <w:t xml:space="preserve"> Zhao: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6379A" w14:textId="33E99D4F" w:rsidR="00F85F0D" w:rsidRDefault="00641602">
            <w:pPr>
              <w:jc w:val="center"/>
              <w:rPr>
                <w:rFonts w:eastAsia="仿宋"/>
                <w:sz w:val="24"/>
                <w:szCs w:val="24"/>
              </w:rPr>
            </w:pPr>
            <w:proofErr w:type="spellStart"/>
            <w:r w:rsidRPr="00641602">
              <w:rPr>
                <w:rFonts w:eastAsia="仿宋"/>
                <w:sz w:val="24"/>
                <w:szCs w:val="24"/>
              </w:rPr>
              <w:t>DataMan</w:t>
            </w:r>
            <w:proofErr w:type="spellEnd"/>
            <w:r w:rsidRPr="00641602">
              <w:rPr>
                <w:rFonts w:eastAsia="仿宋"/>
                <w:sz w:val="24"/>
                <w:szCs w:val="24"/>
              </w:rPr>
              <w:t xml:space="preserve">: Data Manager for Pre-training Large Language Models. 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FE663" w14:textId="1E581350" w:rsidR="00F85F0D" w:rsidRDefault="00641602">
            <w:pPr>
              <w:jc w:val="center"/>
              <w:rPr>
                <w:rFonts w:eastAsia="仿宋"/>
                <w:sz w:val="24"/>
                <w:szCs w:val="24"/>
              </w:rPr>
            </w:pPr>
            <w:r w:rsidRPr="00641602">
              <w:rPr>
                <w:rFonts w:eastAsia="仿宋"/>
                <w:sz w:val="24"/>
                <w:szCs w:val="24"/>
              </w:rPr>
              <w:t>ICLR</w:t>
            </w:r>
            <w:r>
              <w:rPr>
                <w:rFonts w:eastAsia="仿宋" w:hint="eastAsia"/>
                <w:sz w:val="24"/>
                <w:szCs w:val="24"/>
              </w:rPr>
              <w:t xml:space="preserve"> 2</w:t>
            </w:r>
            <w:r>
              <w:rPr>
                <w:rFonts w:eastAsia="仿宋"/>
                <w:sz w:val="24"/>
                <w:szCs w:val="24"/>
              </w:rPr>
              <w:t>025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63CD4" w14:textId="529B575F" w:rsidR="00F85F0D" w:rsidRDefault="00641602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2</w:t>
            </w:r>
            <w:r>
              <w:rPr>
                <w:rFonts w:eastAsia="仿宋"/>
                <w:sz w:val="24"/>
                <w:szCs w:val="24"/>
              </w:rPr>
              <w:t>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87B31" w14:textId="2C73BB51" w:rsidR="00F85F0D" w:rsidRDefault="00641602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6</w:t>
            </w:r>
          </w:p>
        </w:tc>
      </w:tr>
      <w:tr w:rsidR="00F85F0D" w14:paraId="0C83C79D" w14:textId="77777777" w:rsidTr="00ED1F4C">
        <w:trPr>
          <w:trHeight w:hRule="exact" w:val="6323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F4DFD" w14:textId="1981E694" w:rsidR="00F85F0D" w:rsidRDefault="00ED1F4C">
            <w:pPr>
              <w:rPr>
                <w:rFonts w:eastAsia="仿宋"/>
                <w:sz w:val="24"/>
                <w:szCs w:val="24"/>
              </w:rPr>
            </w:pPr>
            <w:proofErr w:type="spellStart"/>
            <w:r w:rsidRPr="00ED1F4C">
              <w:rPr>
                <w:rFonts w:eastAsia="仿宋"/>
                <w:sz w:val="24"/>
                <w:szCs w:val="24"/>
              </w:rPr>
              <w:t>Shenzhi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Wang, Le Yu, Chang Gao,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Chujie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Zheng,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Shixuan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Liu, Rui Lu, Kai Dang,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Xionghui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Chen,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Jianxin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Yang,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Zhenru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Zhang,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Yuqiong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Liu, </w:t>
            </w:r>
            <w:proofErr w:type="gramStart"/>
            <w:r w:rsidRPr="00ED1F4C">
              <w:rPr>
                <w:rFonts w:eastAsia="仿宋"/>
                <w:sz w:val="24"/>
                <w:szCs w:val="24"/>
              </w:rPr>
              <w:t>An</w:t>
            </w:r>
            <w:proofErr w:type="gramEnd"/>
            <w:r w:rsidRPr="00ED1F4C">
              <w:rPr>
                <w:rFonts w:eastAsia="仿宋"/>
                <w:sz w:val="24"/>
                <w:szCs w:val="24"/>
              </w:rPr>
              <w:t xml:space="preserve"> Yang, Andrew Zhao, Yang Yue,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Shiji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Song, Bowen Yu, Gao Huang,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Junyang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Lin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FB615" w14:textId="4D920762" w:rsidR="00F85F0D" w:rsidRDefault="00ED1F4C">
            <w:pPr>
              <w:jc w:val="center"/>
              <w:rPr>
                <w:rFonts w:eastAsia="仿宋"/>
                <w:sz w:val="24"/>
                <w:szCs w:val="24"/>
              </w:rPr>
            </w:pPr>
            <w:r w:rsidRPr="00ED1F4C">
              <w:rPr>
                <w:rFonts w:eastAsia="仿宋"/>
                <w:sz w:val="24"/>
                <w:szCs w:val="24"/>
              </w:rPr>
              <w:t>Beyond the 80/20 Rule: High-Entropy Minority Tokens Drive Effective Reinforcement Learning for LLM Reasoning</w:t>
            </w:r>
            <w:r>
              <w:rPr>
                <w:rFonts w:eastAsia="仿宋"/>
                <w:sz w:val="24"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90EEE" w14:textId="494275AA" w:rsidR="00F85F0D" w:rsidRDefault="00ED1F4C">
            <w:pPr>
              <w:jc w:val="center"/>
              <w:rPr>
                <w:rFonts w:eastAsia="仿宋"/>
                <w:sz w:val="24"/>
                <w:szCs w:val="24"/>
              </w:rPr>
            </w:pPr>
            <w:proofErr w:type="spellStart"/>
            <w:r w:rsidRPr="00ED1F4C">
              <w:rPr>
                <w:rFonts w:eastAsia="仿宋"/>
                <w:sz w:val="24"/>
                <w:szCs w:val="24"/>
              </w:rPr>
              <w:t>CoRR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abs/2506.01939 (2025)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EAF5C" w14:textId="06FD62B6" w:rsidR="00F85F0D" w:rsidRDefault="00ED1F4C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2</w:t>
            </w:r>
            <w:r>
              <w:rPr>
                <w:rFonts w:eastAsia="仿宋"/>
                <w:sz w:val="24"/>
                <w:szCs w:val="24"/>
              </w:rPr>
              <w:t>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A094E" w14:textId="2E1B565E" w:rsidR="00F85F0D" w:rsidRDefault="00ED1F4C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4</w:t>
            </w:r>
            <w:r>
              <w:rPr>
                <w:rFonts w:eastAsia="仿宋"/>
                <w:sz w:val="24"/>
                <w:szCs w:val="24"/>
              </w:rPr>
              <w:t>4</w:t>
            </w:r>
          </w:p>
        </w:tc>
      </w:tr>
      <w:tr w:rsidR="00ED1F4C" w14:paraId="419E88AF" w14:textId="77777777" w:rsidTr="00ED1F4C">
        <w:trPr>
          <w:trHeight w:hRule="exact" w:val="4137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49954" w14:textId="1621F7BD" w:rsidR="00ED1F4C" w:rsidRDefault="00ED1F4C">
            <w:pPr>
              <w:rPr>
                <w:rFonts w:eastAsia="仿宋"/>
                <w:sz w:val="24"/>
                <w:szCs w:val="24"/>
              </w:rPr>
            </w:pPr>
            <w:proofErr w:type="spellStart"/>
            <w:r w:rsidRPr="00ED1F4C">
              <w:rPr>
                <w:rFonts w:eastAsia="仿宋"/>
                <w:sz w:val="24"/>
                <w:szCs w:val="24"/>
              </w:rPr>
              <w:lastRenderedPageBreak/>
              <w:t>Chujie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Zheng,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Shixuan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Liu,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Mingze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Li,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Xiong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-Hui Chen, Bowen Yu, Chang Gao, Kai Dang,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Yuqiong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Liu, Rui Men, </w:t>
            </w:r>
            <w:proofErr w:type="gramStart"/>
            <w:r w:rsidRPr="00ED1F4C">
              <w:rPr>
                <w:rFonts w:eastAsia="仿宋"/>
                <w:sz w:val="24"/>
                <w:szCs w:val="24"/>
              </w:rPr>
              <w:t>An</w:t>
            </w:r>
            <w:proofErr w:type="gramEnd"/>
            <w:r w:rsidRPr="00ED1F4C">
              <w:rPr>
                <w:rFonts w:eastAsia="仿宋"/>
                <w:sz w:val="24"/>
                <w:szCs w:val="24"/>
              </w:rPr>
              <w:t xml:space="preserve"> Yang,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Jingren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Zhou,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Junyang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Lin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B2353" w14:textId="218FB8BB" w:rsidR="00ED1F4C" w:rsidRDefault="00ED1F4C">
            <w:pPr>
              <w:jc w:val="center"/>
              <w:rPr>
                <w:rFonts w:eastAsia="仿宋"/>
                <w:sz w:val="24"/>
                <w:szCs w:val="24"/>
              </w:rPr>
            </w:pPr>
            <w:r w:rsidRPr="00ED1F4C">
              <w:rPr>
                <w:rFonts w:eastAsia="仿宋"/>
                <w:sz w:val="24"/>
                <w:szCs w:val="24"/>
              </w:rPr>
              <w:t>Group Sequence Policy Optimization</w:t>
            </w:r>
            <w:r>
              <w:rPr>
                <w:rFonts w:eastAsia="仿宋"/>
                <w:sz w:val="24"/>
                <w:szCs w:val="24"/>
              </w:rPr>
              <w:t>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71214" w14:textId="7ED20DD5" w:rsidR="00ED1F4C" w:rsidRDefault="00ED1F4C">
            <w:pPr>
              <w:jc w:val="center"/>
              <w:rPr>
                <w:rFonts w:eastAsia="仿宋"/>
                <w:sz w:val="24"/>
                <w:szCs w:val="24"/>
              </w:rPr>
            </w:pPr>
            <w:proofErr w:type="spellStart"/>
            <w:r w:rsidRPr="00ED1F4C">
              <w:rPr>
                <w:rFonts w:eastAsia="仿宋"/>
                <w:sz w:val="24"/>
                <w:szCs w:val="24"/>
              </w:rPr>
              <w:t>CoRR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abs/2507.18071 (2025)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D4488" w14:textId="41482459" w:rsidR="00ED1F4C" w:rsidRDefault="00ED1F4C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2</w:t>
            </w:r>
            <w:r>
              <w:rPr>
                <w:rFonts w:eastAsia="仿宋"/>
                <w:sz w:val="24"/>
                <w:szCs w:val="24"/>
              </w:rPr>
              <w:t>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B093F" w14:textId="6F7B59B6" w:rsidR="00ED1F4C" w:rsidRDefault="00ED1F4C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</w:t>
            </w:r>
            <w:r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641602" w14:paraId="36382E0A" w14:textId="77777777" w:rsidTr="00ED1F4C">
        <w:trPr>
          <w:trHeight w:hRule="exact" w:val="4175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E8099" w14:textId="36D5822D" w:rsidR="00641602" w:rsidRDefault="00ED1F4C">
            <w:pPr>
              <w:rPr>
                <w:rFonts w:eastAsia="仿宋"/>
                <w:sz w:val="24"/>
                <w:szCs w:val="24"/>
              </w:rPr>
            </w:pPr>
            <w:proofErr w:type="spellStart"/>
            <w:r w:rsidRPr="00ED1F4C">
              <w:rPr>
                <w:rFonts w:eastAsia="仿宋"/>
                <w:sz w:val="24"/>
                <w:szCs w:val="24"/>
              </w:rPr>
              <w:t>Xiulong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Yuan,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Hongtao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Xu,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Wenting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Shen, Ang Wang,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Xiafei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Qiu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Jie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Zhang,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Yuqiong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Liu, Bowen Yu,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Junyang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Lin,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Mingzhen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Li,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Weile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Jia, Yong Li, Wei Lin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8422C" w14:textId="2444B0D9" w:rsidR="00641602" w:rsidRDefault="00641602">
            <w:pPr>
              <w:jc w:val="center"/>
              <w:rPr>
                <w:rFonts w:eastAsia="仿宋"/>
                <w:sz w:val="24"/>
                <w:szCs w:val="24"/>
              </w:rPr>
            </w:pPr>
            <w:r w:rsidRPr="00641602">
              <w:rPr>
                <w:rFonts w:eastAsia="仿宋"/>
                <w:sz w:val="24"/>
                <w:szCs w:val="24"/>
              </w:rPr>
              <w:t>Efficient Long Context Fine-tuning with Chunk Flow.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F94F6" w14:textId="7A4143CE" w:rsidR="00641602" w:rsidRDefault="00641602">
            <w:pPr>
              <w:jc w:val="center"/>
              <w:rPr>
                <w:rFonts w:eastAsia="仿宋"/>
                <w:sz w:val="24"/>
                <w:szCs w:val="24"/>
              </w:rPr>
            </w:pPr>
            <w:proofErr w:type="spellStart"/>
            <w:r w:rsidRPr="00641602">
              <w:rPr>
                <w:rFonts w:eastAsia="仿宋"/>
                <w:sz w:val="24"/>
                <w:szCs w:val="24"/>
              </w:rPr>
              <w:t>CoRR</w:t>
            </w:r>
            <w:proofErr w:type="spellEnd"/>
            <w:r w:rsidRPr="00641602">
              <w:rPr>
                <w:rFonts w:eastAsia="仿宋"/>
                <w:sz w:val="24"/>
                <w:szCs w:val="24"/>
              </w:rPr>
              <w:t xml:space="preserve"> abs/2503.02356(2025)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26853" w14:textId="47F20E59" w:rsidR="00641602" w:rsidRDefault="00641602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2</w:t>
            </w:r>
            <w:r>
              <w:rPr>
                <w:rFonts w:eastAsia="仿宋"/>
                <w:sz w:val="24"/>
                <w:szCs w:val="24"/>
              </w:rPr>
              <w:t>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91285" w14:textId="52D48E87" w:rsidR="00641602" w:rsidRDefault="00ED1F4C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</w:t>
            </w:r>
          </w:p>
        </w:tc>
      </w:tr>
      <w:tr w:rsidR="00ED1F4C" w14:paraId="7B9D0D6A" w14:textId="77777777" w:rsidTr="003B452B">
        <w:trPr>
          <w:trHeight w:hRule="exact" w:val="2628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88A9E" w14:textId="60BBC24C" w:rsidR="00ED1F4C" w:rsidRPr="00ED1F4C" w:rsidRDefault="00ED1F4C">
            <w:pPr>
              <w:rPr>
                <w:rFonts w:eastAsia="仿宋"/>
                <w:sz w:val="24"/>
                <w:szCs w:val="24"/>
              </w:rPr>
            </w:pPr>
            <w:proofErr w:type="spellStart"/>
            <w:r w:rsidRPr="00ED1F4C">
              <w:rPr>
                <w:rFonts w:eastAsia="仿宋"/>
                <w:sz w:val="24"/>
                <w:szCs w:val="24"/>
              </w:rPr>
              <w:t>Shiwei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Zhang,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Lansong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Diao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Chuan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Wu,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Zongyan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Cao,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Siyu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Wang, Wei Lin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AB3CD" w14:textId="1557C694" w:rsidR="00ED1F4C" w:rsidRPr="00ED1F4C" w:rsidRDefault="00ED1F4C">
            <w:pPr>
              <w:jc w:val="center"/>
              <w:rPr>
                <w:rFonts w:eastAsia="仿宋"/>
                <w:sz w:val="24"/>
                <w:szCs w:val="24"/>
              </w:rPr>
            </w:pPr>
            <w:r w:rsidRPr="00ED1F4C">
              <w:rPr>
                <w:rFonts w:eastAsia="仿宋"/>
                <w:sz w:val="24"/>
                <w:szCs w:val="24"/>
              </w:rPr>
              <w:t xml:space="preserve">Hap: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Spmd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dnn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training on heterogeneous </w:t>
            </w:r>
            <w:proofErr w:type="spellStart"/>
            <w:r w:rsidRPr="00ED1F4C">
              <w:rPr>
                <w:rFonts w:eastAsia="仿宋"/>
                <w:sz w:val="24"/>
                <w:szCs w:val="24"/>
              </w:rPr>
              <w:t>gpu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clusters with automated program synthesis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0A899" w14:textId="77518728" w:rsidR="00ED1F4C" w:rsidRPr="00641602" w:rsidRDefault="00ED1F4C">
            <w:pPr>
              <w:jc w:val="center"/>
              <w:rPr>
                <w:rFonts w:eastAsia="仿宋"/>
                <w:sz w:val="24"/>
                <w:szCs w:val="24"/>
              </w:rPr>
            </w:pPr>
            <w:proofErr w:type="spellStart"/>
            <w:r w:rsidRPr="00ED1F4C">
              <w:rPr>
                <w:rFonts w:eastAsia="仿宋"/>
                <w:sz w:val="24"/>
                <w:szCs w:val="24"/>
              </w:rPr>
              <w:t>EuroSys</w:t>
            </w:r>
            <w:proofErr w:type="spellEnd"/>
            <w:r w:rsidRPr="00ED1F4C">
              <w:rPr>
                <w:rFonts w:eastAsia="仿宋"/>
                <w:sz w:val="24"/>
                <w:szCs w:val="24"/>
              </w:rPr>
              <w:t xml:space="preserve"> 2024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0C96C" w14:textId="4236DB5C" w:rsidR="00ED1F4C" w:rsidRDefault="00ED1F4C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2</w:t>
            </w:r>
            <w:r>
              <w:rPr>
                <w:rFonts w:eastAsia="仿宋"/>
                <w:sz w:val="24"/>
                <w:szCs w:val="24"/>
              </w:rPr>
              <w:t>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C3E41" w14:textId="1FA47D13" w:rsidR="00ED1F4C" w:rsidRDefault="00ED1F4C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2</w:t>
            </w:r>
            <w:r>
              <w:rPr>
                <w:rFonts w:eastAsia="仿宋"/>
                <w:sz w:val="24"/>
                <w:szCs w:val="24"/>
              </w:rPr>
              <w:t>2</w:t>
            </w:r>
          </w:p>
        </w:tc>
      </w:tr>
      <w:tr w:rsidR="00F85F0D" w14:paraId="4D538D85" w14:textId="77777777">
        <w:trPr>
          <w:trHeight w:hRule="exact" w:val="692"/>
          <w:jc w:val="center"/>
        </w:trPr>
        <w:tc>
          <w:tcPr>
            <w:tcW w:w="724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EF9FD6" w14:textId="77777777" w:rsidR="00F85F0D" w:rsidRDefault="0000000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计</w:t>
            </w:r>
            <w:r>
              <w:rPr>
                <w:rFonts w:eastAsia="仿宋"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D3A451" w14:textId="052210A1" w:rsidR="00F85F0D" w:rsidRDefault="003B452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8</w:t>
            </w:r>
            <w:r>
              <w:rPr>
                <w:rFonts w:eastAsia="仿宋"/>
                <w:sz w:val="24"/>
                <w:szCs w:val="24"/>
              </w:rPr>
              <w:t>5</w:t>
            </w:r>
          </w:p>
        </w:tc>
      </w:tr>
    </w:tbl>
    <w:p w14:paraId="1968F5D8" w14:textId="77777777" w:rsidR="00F85F0D" w:rsidRDefault="00F85F0D"/>
    <w:p w14:paraId="1E2DBC98" w14:textId="77777777" w:rsidR="00F85F0D" w:rsidRDefault="00F85F0D">
      <w:pPr>
        <w:widowControl/>
        <w:jc w:val="left"/>
      </w:pPr>
    </w:p>
    <w:sectPr w:rsidR="00F85F0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233E" w14:textId="77777777" w:rsidR="00F1660D" w:rsidRDefault="00F1660D" w:rsidP="00C674E4">
      <w:r>
        <w:separator/>
      </w:r>
    </w:p>
  </w:endnote>
  <w:endnote w:type="continuationSeparator" w:id="0">
    <w:p w14:paraId="1915ED06" w14:textId="77777777" w:rsidR="00F1660D" w:rsidRDefault="00F1660D" w:rsidP="00C6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方正黑体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22E4" w14:textId="77777777" w:rsidR="00F1660D" w:rsidRDefault="00F1660D" w:rsidP="00C674E4">
      <w:r>
        <w:separator/>
      </w:r>
    </w:p>
  </w:footnote>
  <w:footnote w:type="continuationSeparator" w:id="0">
    <w:p w14:paraId="548AC991" w14:textId="77777777" w:rsidR="00F1660D" w:rsidRDefault="00F1660D" w:rsidP="00C6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B11E8"/>
    <w:multiLevelType w:val="multilevel"/>
    <w:tmpl w:val="6C6B1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58796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U4ZTA3Y2FiZWViOWM1MTIxYzdlYzI0NTNiZWI1ODIifQ=="/>
  </w:docVars>
  <w:rsids>
    <w:rsidRoot w:val="007A378A"/>
    <w:rsid w:val="00050ED0"/>
    <w:rsid w:val="00124F0E"/>
    <w:rsid w:val="00133845"/>
    <w:rsid w:val="00145563"/>
    <w:rsid w:val="001813EE"/>
    <w:rsid w:val="001A3960"/>
    <w:rsid w:val="001B38DC"/>
    <w:rsid w:val="001B65AB"/>
    <w:rsid w:val="001D639A"/>
    <w:rsid w:val="001D686B"/>
    <w:rsid w:val="0023456E"/>
    <w:rsid w:val="0033344C"/>
    <w:rsid w:val="0038221E"/>
    <w:rsid w:val="003B452B"/>
    <w:rsid w:val="003C3758"/>
    <w:rsid w:val="004364BF"/>
    <w:rsid w:val="004627C0"/>
    <w:rsid w:val="004B24E7"/>
    <w:rsid w:val="004D27AF"/>
    <w:rsid w:val="004D3794"/>
    <w:rsid w:val="00506046"/>
    <w:rsid w:val="00527E1A"/>
    <w:rsid w:val="00576452"/>
    <w:rsid w:val="005956FF"/>
    <w:rsid w:val="005A29FB"/>
    <w:rsid w:val="005A30AF"/>
    <w:rsid w:val="005A7ACF"/>
    <w:rsid w:val="00631211"/>
    <w:rsid w:val="00633B7D"/>
    <w:rsid w:val="00641602"/>
    <w:rsid w:val="00653BB3"/>
    <w:rsid w:val="00681249"/>
    <w:rsid w:val="006C29D5"/>
    <w:rsid w:val="006D0AA5"/>
    <w:rsid w:val="00773027"/>
    <w:rsid w:val="00786B63"/>
    <w:rsid w:val="007A378A"/>
    <w:rsid w:val="007B026A"/>
    <w:rsid w:val="007C6E07"/>
    <w:rsid w:val="007D429B"/>
    <w:rsid w:val="007D6B7E"/>
    <w:rsid w:val="007E555C"/>
    <w:rsid w:val="00821DF8"/>
    <w:rsid w:val="008423C9"/>
    <w:rsid w:val="0089282A"/>
    <w:rsid w:val="008B76F6"/>
    <w:rsid w:val="008C5045"/>
    <w:rsid w:val="0091553B"/>
    <w:rsid w:val="0092272B"/>
    <w:rsid w:val="00944766"/>
    <w:rsid w:val="009B7DCA"/>
    <w:rsid w:val="00A06831"/>
    <w:rsid w:val="00A2366E"/>
    <w:rsid w:val="00AB65D6"/>
    <w:rsid w:val="00AB7A5E"/>
    <w:rsid w:val="00B17F4B"/>
    <w:rsid w:val="00B272D7"/>
    <w:rsid w:val="00B31AC0"/>
    <w:rsid w:val="00B85607"/>
    <w:rsid w:val="00BC7261"/>
    <w:rsid w:val="00BD4176"/>
    <w:rsid w:val="00BF4DC8"/>
    <w:rsid w:val="00C03F73"/>
    <w:rsid w:val="00C2775A"/>
    <w:rsid w:val="00C371B7"/>
    <w:rsid w:val="00C674E4"/>
    <w:rsid w:val="00CA7BC3"/>
    <w:rsid w:val="00CC64D3"/>
    <w:rsid w:val="00D1618D"/>
    <w:rsid w:val="00D20D6F"/>
    <w:rsid w:val="00D25105"/>
    <w:rsid w:val="00D27598"/>
    <w:rsid w:val="00D474A4"/>
    <w:rsid w:val="00D5372D"/>
    <w:rsid w:val="00D943F3"/>
    <w:rsid w:val="00DA17C1"/>
    <w:rsid w:val="00DB16AB"/>
    <w:rsid w:val="00DE0349"/>
    <w:rsid w:val="00E476EE"/>
    <w:rsid w:val="00E63B77"/>
    <w:rsid w:val="00E83898"/>
    <w:rsid w:val="00ED1F4C"/>
    <w:rsid w:val="00ED3AD7"/>
    <w:rsid w:val="00EF15B5"/>
    <w:rsid w:val="00F02D24"/>
    <w:rsid w:val="00F14EF2"/>
    <w:rsid w:val="00F1660D"/>
    <w:rsid w:val="00F8299D"/>
    <w:rsid w:val="00F85F0D"/>
    <w:rsid w:val="00FE7D17"/>
    <w:rsid w:val="0D3B5D11"/>
    <w:rsid w:val="0EC73D67"/>
    <w:rsid w:val="11EE5549"/>
    <w:rsid w:val="239A66D4"/>
    <w:rsid w:val="2FBD0A96"/>
    <w:rsid w:val="31707A49"/>
    <w:rsid w:val="35D408E8"/>
    <w:rsid w:val="42E046F5"/>
    <w:rsid w:val="56571D5D"/>
    <w:rsid w:val="5A276CF7"/>
    <w:rsid w:val="5C3D5D98"/>
    <w:rsid w:val="6A642E74"/>
    <w:rsid w:val="738A5A84"/>
    <w:rsid w:val="7A4D3293"/>
    <w:rsid w:val="7C0E48E7"/>
    <w:rsid w:val="7E35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601A45"/>
  <w15:docId w15:val="{6307D691-B884-4D15-9A3D-D97A4BC9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F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jc w:val="left"/>
    </w:pPr>
  </w:style>
  <w:style w:type="paragraph" w:styleId="a5">
    <w:name w:val="Plain Text"/>
    <w:basedOn w:val="a"/>
    <w:link w:val="a6"/>
    <w:unhideWhenUsed/>
    <w:qFormat/>
    <w:pPr>
      <w:spacing w:line="360" w:lineRule="auto"/>
      <w:ind w:firstLineChars="200" w:firstLine="480"/>
    </w:pPr>
    <w:rPr>
      <w:rFonts w:ascii="仿宋_GB2312" w:hint="eastAsia"/>
      <w:sz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仿宋_GB2312" w:eastAsia="仿宋_GB2312" w:cs="仿宋_GB2312" w:hint="eastAsia"/>
      <w:kern w:val="2"/>
      <w:sz w:val="24"/>
    </w:rPr>
  </w:style>
  <w:style w:type="character" w:customStyle="1" w:styleId="30">
    <w:name w:val="标题 3 字符"/>
    <w:basedOn w:val="a0"/>
    <w:link w:val="3"/>
    <w:uiPriority w:val="9"/>
    <w:semiHidden/>
    <w:rsid w:val="00ED1F4C"/>
    <w:rPr>
      <w:b/>
      <w:bCs/>
      <w:kern w:val="2"/>
      <w:sz w:val="32"/>
      <w:szCs w:val="32"/>
    </w:rPr>
  </w:style>
  <w:style w:type="paragraph" w:styleId="ac">
    <w:name w:val="Normal (Web)"/>
    <w:basedOn w:val="a"/>
    <w:uiPriority w:val="99"/>
    <w:semiHidden/>
    <w:unhideWhenUsed/>
    <w:rsid w:val="001D63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EF08D-B474-4E4D-91A5-5B8D2491D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ransongnan@sina.com</cp:lastModifiedBy>
  <cp:revision>7</cp:revision>
  <dcterms:created xsi:type="dcterms:W3CDTF">2025-09-15T01:55:00Z</dcterms:created>
  <dcterms:modified xsi:type="dcterms:W3CDTF">2025-09-16T01:54:00Z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2b72e15af0bb090dd301c38d68338b63311e991c4947f75417028b2c96d1d24e</vt:lpwstr>
  </property>
  <property fmtid="{D5CDD505-2E9C-101B-9397-08002B2CF9AE}" pid="3" name="KSOProductBuildVer">
    <vt:lpwstr>2052-12.1.0.17147</vt:lpwstr>
  </property>
  <property fmtid="{D5CDD505-2E9C-101B-9397-08002B2CF9AE}" pid="4" name="ICV">
    <vt:lpwstr>74804AE96B3145029307CDA9375D698D_13</vt:lpwstr>
  </property>
</Properties>
</file>