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D437C3">
      <w:pPr>
        <w:jc w:val="center"/>
        <w:rPr>
          <w:rStyle w:val="10"/>
          <w:rFonts w:eastAsia="方正小标宋简体"/>
          <w:b w:val="0"/>
          <w:color w:val="auto"/>
          <w:sz w:val="36"/>
          <w:szCs w:val="36"/>
        </w:rPr>
      </w:pPr>
      <w:r>
        <w:rPr>
          <w:rStyle w:val="10"/>
          <w:rFonts w:eastAsia="方正小标宋简体"/>
          <w:b w:val="0"/>
          <w:color w:val="auto"/>
          <w:sz w:val="36"/>
          <w:szCs w:val="36"/>
        </w:rPr>
        <w:t>浙江省科学技术奖公示信息表</w:t>
      </w:r>
    </w:p>
    <w:p w14:paraId="316C0E34">
      <w:pPr>
        <w:spacing w:line="440" w:lineRule="exact"/>
        <w:jc w:val="center"/>
        <w:rPr>
          <w:rFonts w:eastAsia="仿宋_GB2312"/>
          <w:sz w:val="28"/>
          <w:szCs w:val="24"/>
        </w:rPr>
      </w:pPr>
      <w:r>
        <w:rPr>
          <w:rFonts w:eastAsia="仿宋_GB2312"/>
          <w:sz w:val="28"/>
          <w:szCs w:val="24"/>
        </w:rPr>
        <w:t>提名奖项：科学技术进步奖</w:t>
      </w:r>
    </w:p>
    <w:tbl>
      <w:tblPr>
        <w:tblStyle w:val="5"/>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14:paraId="3D79A1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7" w:hRule="atLeast"/>
        </w:trPr>
        <w:tc>
          <w:tcPr>
            <w:tcW w:w="2269" w:type="dxa"/>
            <w:vAlign w:val="center"/>
          </w:tcPr>
          <w:p w14:paraId="1969BCFB">
            <w:pPr>
              <w:jc w:val="center"/>
              <w:rPr>
                <w:rStyle w:val="10"/>
                <w:rFonts w:eastAsia="仿宋_GB2312"/>
                <w:b w:val="0"/>
                <w:color w:val="auto"/>
                <w:sz w:val="28"/>
                <w:szCs w:val="28"/>
              </w:rPr>
            </w:pPr>
            <w:r>
              <w:rPr>
                <w:rStyle w:val="10"/>
                <w:rFonts w:eastAsia="仿宋_GB2312"/>
                <w:b w:val="0"/>
                <w:color w:val="auto"/>
                <w:sz w:val="28"/>
                <w:szCs w:val="28"/>
              </w:rPr>
              <w:t>成果名称</w:t>
            </w:r>
          </w:p>
        </w:tc>
        <w:tc>
          <w:tcPr>
            <w:tcW w:w="6237" w:type="dxa"/>
            <w:vAlign w:val="center"/>
          </w:tcPr>
          <w:p w14:paraId="0883A5BB">
            <w:pPr>
              <w:rPr>
                <w:rStyle w:val="10"/>
                <w:rFonts w:eastAsia="仿宋"/>
                <w:b w:val="0"/>
                <w:sz w:val="28"/>
              </w:rPr>
            </w:pPr>
            <w:bookmarkStart w:id="0" w:name="_GoBack"/>
            <w:r>
              <w:rPr>
                <w:rFonts w:eastAsia="仿宋"/>
                <w:sz w:val="24"/>
                <w:szCs w:val="24"/>
              </w:rPr>
              <w:t>中晚期肝癌介入栓塞治疗关键技术创新与应用</w:t>
            </w:r>
            <w:bookmarkEnd w:id="0"/>
          </w:p>
        </w:tc>
      </w:tr>
      <w:tr w14:paraId="6B74FF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1" w:hRule="atLeast"/>
        </w:trPr>
        <w:tc>
          <w:tcPr>
            <w:tcW w:w="2269" w:type="dxa"/>
            <w:vAlign w:val="center"/>
          </w:tcPr>
          <w:p w14:paraId="7E325F55">
            <w:pPr>
              <w:jc w:val="center"/>
              <w:rPr>
                <w:rStyle w:val="10"/>
                <w:rFonts w:eastAsia="仿宋_GB2312"/>
                <w:b w:val="0"/>
                <w:color w:val="auto"/>
                <w:sz w:val="28"/>
                <w:szCs w:val="28"/>
              </w:rPr>
            </w:pPr>
            <w:r>
              <w:rPr>
                <w:rStyle w:val="10"/>
                <w:rFonts w:eastAsia="仿宋_GB2312"/>
                <w:b w:val="0"/>
                <w:color w:val="auto"/>
                <w:sz w:val="28"/>
                <w:szCs w:val="28"/>
              </w:rPr>
              <w:t>提名等级</w:t>
            </w:r>
          </w:p>
        </w:tc>
        <w:tc>
          <w:tcPr>
            <w:tcW w:w="6237" w:type="dxa"/>
            <w:vAlign w:val="center"/>
          </w:tcPr>
          <w:p w14:paraId="6D803B6F">
            <w:pPr>
              <w:jc w:val="center"/>
              <w:rPr>
                <w:rStyle w:val="10"/>
                <w:rFonts w:eastAsia="仿宋_GB2312"/>
                <w:b w:val="0"/>
                <w:sz w:val="28"/>
              </w:rPr>
            </w:pPr>
            <w:r>
              <w:rPr>
                <w:rStyle w:val="10"/>
                <w:rFonts w:hint="eastAsia" w:eastAsia="仿宋_GB2312"/>
                <w:b w:val="0"/>
                <w:color w:val="auto"/>
                <w:sz w:val="28"/>
                <w:szCs w:val="28"/>
              </w:rPr>
              <w:t>一等奖</w:t>
            </w:r>
          </w:p>
        </w:tc>
      </w:tr>
      <w:tr w14:paraId="2B829F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1" w:hRule="atLeast"/>
        </w:trPr>
        <w:tc>
          <w:tcPr>
            <w:tcW w:w="2269" w:type="dxa"/>
            <w:vAlign w:val="center"/>
          </w:tcPr>
          <w:p w14:paraId="02769917">
            <w:pPr>
              <w:jc w:val="center"/>
              <w:rPr>
                <w:rStyle w:val="10"/>
                <w:rFonts w:eastAsia="仿宋_GB2312"/>
                <w:b w:val="0"/>
                <w:color w:val="auto"/>
                <w:sz w:val="28"/>
                <w:szCs w:val="28"/>
              </w:rPr>
            </w:pPr>
            <w:r>
              <w:rPr>
                <w:rStyle w:val="10"/>
                <w:rFonts w:eastAsia="仿宋_GB2312"/>
                <w:b w:val="0"/>
                <w:color w:val="auto"/>
                <w:sz w:val="28"/>
                <w:szCs w:val="28"/>
              </w:rPr>
              <w:t>提名书</w:t>
            </w:r>
          </w:p>
          <w:p w14:paraId="1ADBC147">
            <w:pPr>
              <w:jc w:val="center"/>
              <w:rPr>
                <w:rStyle w:val="10"/>
                <w:rFonts w:eastAsia="仿宋_GB2312"/>
                <w:b w:val="0"/>
                <w:color w:val="auto"/>
                <w:sz w:val="28"/>
                <w:szCs w:val="28"/>
              </w:rPr>
            </w:pPr>
            <w:r>
              <w:rPr>
                <w:rStyle w:val="10"/>
                <w:rFonts w:eastAsia="仿宋_GB2312"/>
                <w:b w:val="0"/>
                <w:color w:val="auto"/>
                <w:sz w:val="28"/>
                <w:szCs w:val="28"/>
              </w:rPr>
              <w:t>相关内容</w:t>
            </w:r>
          </w:p>
        </w:tc>
        <w:tc>
          <w:tcPr>
            <w:tcW w:w="6237" w:type="dxa"/>
            <w:vAlign w:val="center"/>
          </w:tcPr>
          <w:p w14:paraId="0F6E5957">
            <w:pPr>
              <w:pStyle w:val="11"/>
              <w:numPr>
                <w:ilvl w:val="0"/>
                <w:numId w:val="1"/>
              </w:numPr>
              <w:ind w:firstLineChars="0"/>
              <w:rPr>
                <w:rFonts w:eastAsia="仿宋_GB2312"/>
                <w:bCs/>
                <w:sz w:val="18"/>
                <w:szCs w:val="18"/>
              </w:rPr>
            </w:pPr>
            <w:r>
              <w:rPr>
                <w:rFonts w:eastAsia="仿宋_GB2312"/>
                <w:bCs/>
                <w:sz w:val="18"/>
                <w:szCs w:val="18"/>
              </w:rPr>
              <w:t xml:space="preserve">Bufu Tang#, Jinyu Zhu#, Yueli Shi#, Yajie Wang, Xiaojie Zhang, Biao Chen, Shiji Fang, Yang Yang, Liyun Zheng, Rongfang Qiu, Qiaoyou Weng, Min Xu, Zhongwei Zhao, Jianfei Tu*, Minjiang Chen*, Jiansong Ji*. Tumor cell-intrinsic MELK enhanced CCL2-dependent immunosuppression to exacerbate hepatocarcinogenesis and confer resistance of HCC to radiotherapy. </w:t>
            </w:r>
            <w:r>
              <w:rPr>
                <w:rFonts w:eastAsia="仿宋_GB2312"/>
                <w:bCs/>
                <w:i/>
                <w:iCs/>
                <w:sz w:val="18"/>
                <w:szCs w:val="18"/>
              </w:rPr>
              <w:t>Molecular Cancer</w:t>
            </w:r>
            <w:r>
              <w:rPr>
                <w:rFonts w:eastAsia="仿宋_GB2312"/>
                <w:bCs/>
                <w:sz w:val="18"/>
                <w:szCs w:val="18"/>
              </w:rPr>
              <w:t>, 2024, 23(1): 137</w:t>
            </w:r>
          </w:p>
          <w:p w14:paraId="7382CB26">
            <w:pPr>
              <w:pStyle w:val="11"/>
              <w:numPr>
                <w:ilvl w:val="0"/>
                <w:numId w:val="1"/>
              </w:numPr>
              <w:ind w:firstLineChars="0"/>
              <w:rPr>
                <w:rFonts w:eastAsia="仿宋_GB2312"/>
                <w:bCs/>
                <w:sz w:val="18"/>
                <w:szCs w:val="18"/>
              </w:rPr>
            </w:pPr>
            <w:r>
              <w:rPr>
                <w:rFonts w:eastAsia="仿宋_GB2312"/>
                <w:bCs/>
                <w:sz w:val="18"/>
                <w:szCs w:val="18"/>
              </w:rPr>
              <w:t>Juntao Bie#, Yutong Li#, Chen Song, Qiaoyou Weng, Long Zhao, Li Su, Zhongwei Zhao, Yingjiang Ye, Zhanlong Shen*, Jiansong Ji*, Jianyuan Luo*.LAMTOR1 ablation impedes cGAS degradation caused by chemotherapy and promotes antitumor immunity.</w:t>
            </w:r>
            <w:r>
              <w:rPr>
                <w:rFonts w:hint="eastAsia" w:eastAsia="仿宋_GB2312"/>
                <w:bCs/>
                <w:sz w:val="18"/>
                <w:szCs w:val="18"/>
              </w:rPr>
              <w:t xml:space="preserve"> </w:t>
            </w:r>
            <w:r>
              <w:rPr>
                <w:rFonts w:eastAsia="仿宋_GB2312"/>
                <w:bCs/>
                <w:i/>
                <w:iCs/>
                <w:sz w:val="18"/>
                <w:szCs w:val="18"/>
              </w:rPr>
              <w:t>Proc Natl Acad Sci U S A</w:t>
            </w:r>
            <w:r>
              <w:rPr>
                <w:rFonts w:eastAsia="仿宋_GB2312"/>
                <w:bCs/>
                <w:sz w:val="18"/>
                <w:szCs w:val="18"/>
              </w:rPr>
              <w:t xml:space="preserve">, 2024,121(41):e2320591121 </w:t>
            </w:r>
          </w:p>
          <w:p w14:paraId="1FFE0E31">
            <w:pPr>
              <w:pStyle w:val="11"/>
              <w:numPr>
                <w:ilvl w:val="0"/>
                <w:numId w:val="1"/>
              </w:numPr>
              <w:ind w:firstLineChars="0"/>
              <w:rPr>
                <w:rFonts w:eastAsia="仿宋_GB2312"/>
                <w:bCs/>
                <w:sz w:val="18"/>
                <w:szCs w:val="18"/>
              </w:rPr>
            </w:pPr>
            <w:r>
              <w:rPr>
                <w:rFonts w:eastAsia="仿宋_GB2312"/>
                <w:bCs/>
                <w:sz w:val="18"/>
                <w:szCs w:val="18"/>
              </w:rPr>
              <w:t xml:space="preserve">Chenya Wang#, Liping Zhong#, Jiachen Xu, Qi Zhuang, Fei Gong, Xiaojing Chen, Huiquan Tao, Cong Hu, Fuquan Huang, Nailin Yang, Junyan Li, Qi Zhao, Xinjun Sun, Yu Huo, Qian Chen, Yongxiang Zhao*, Rui Peng*, Zhuang Liu*. Oncolytic mineralized bacteria as potent locally administered immunotherapeutics. </w:t>
            </w:r>
            <w:r>
              <w:rPr>
                <w:rFonts w:eastAsia="仿宋_GB2312"/>
                <w:bCs/>
                <w:i/>
                <w:iCs/>
                <w:sz w:val="18"/>
                <w:szCs w:val="18"/>
              </w:rPr>
              <w:t xml:space="preserve">Nature </w:t>
            </w:r>
            <w:r>
              <w:rPr>
                <w:rFonts w:hint="eastAsia" w:eastAsia="仿宋_GB2312"/>
                <w:bCs/>
                <w:i/>
                <w:iCs/>
                <w:sz w:val="18"/>
                <w:szCs w:val="18"/>
              </w:rPr>
              <w:t>B</w:t>
            </w:r>
            <w:r>
              <w:rPr>
                <w:rFonts w:eastAsia="仿宋_GB2312"/>
                <w:bCs/>
                <w:i/>
                <w:iCs/>
                <w:sz w:val="18"/>
                <w:szCs w:val="18"/>
              </w:rPr>
              <w:t xml:space="preserve">iomedical </w:t>
            </w:r>
            <w:r>
              <w:rPr>
                <w:rFonts w:hint="eastAsia" w:eastAsia="仿宋_GB2312"/>
                <w:bCs/>
                <w:i/>
                <w:iCs/>
                <w:sz w:val="18"/>
                <w:szCs w:val="18"/>
              </w:rPr>
              <w:t>E</w:t>
            </w:r>
            <w:r>
              <w:rPr>
                <w:rFonts w:eastAsia="仿宋_GB2312"/>
                <w:bCs/>
                <w:i/>
                <w:iCs/>
                <w:sz w:val="18"/>
                <w:szCs w:val="18"/>
              </w:rPr>
              <w:t>ngineering</w:t>
            </w:r>
            <w:r>
              <w:rPr>
                <w:rFonts w:eastAsia="仿宋_GB2312"/>
                <w:bCs/>
                <w:sz w:val="18"/>
                <w:szCs w:val="18"/>
              </w:rPr>
              <w:t>, 2024, 8(5), 561–578</w:t>
            </w:r>
          </w:p>
          <w:p w14:paraId="2CBB8869">
            <w:pPr>
              <w:pStyle w:val="11"/>
              <w:numPr>
                <w:ilvl w:val="0"/>
                <w:numId w:val="1"/>
              </w:numPr>
              <w:ind w:firstLineChars="0"/>
              <w:rPr>
                <w:rFonts w:eastAsia="仿宋_GB2312"/>
                <w:bCs/>
                <w:sz w:val="18"/>
                <w:szCs w:val="18"/>
              </w:rPr>
            </w:pPr>
            <w:r>
              <w:rPr>
                <w:rFonts w:eastAsia="仿宋_GB2312"/>
                <w:bCs/>
                <w:sz w:val="18"/>
                <w:szCs w:val="18"/>
              </w:rPr>
              <w:t>Fei Gong, Jiachen Xu, Bo Liu, Nailin Yang, Liang Cheng*, Peng Huang, Chunjie Wang, Qian Chen, Caifang Ni*, Zhuang Liu*, Nanoscale CaH2 materials for synergistic hydrogen-immune cancer therapy. Chem, 2022, 8: 268-286</w:t>
            </w:r>
          </w:p>
          <w:p w14:paraId="5C09792C">
            <w:pPr>
              <w:pStyle w:val="11"/>
              <w:numPr>
                <w:ilvl w:val="0"/>
                <w:numId w:val="1"/>
              </w:numPr>
              <w:ind w:firstLineChars="0"/>
              <w:rPr>
                <w:rFonts w:eastAsia="仿宋_GB2312"/>
                <w:bCs/>
                <w:sz w:val="18"/>
                <w:szCs w:val="18"/>
              </w:rPr>
            </w:pPr>
            <w:r>
              <w:rPr>
                <w:rFonts w:eastAsia="仿宋_GB2312"/>
                <w:bCs/>
                <w:sz w:val="18"/>
                <w:szCs w:val="18"/>
              </w:rPr>
              <w:t>Luwen Zhu, Yuchan You, Minxia Zhu, Yanling Song, Jucong Zhang, Jiahao Hu, Xinyi Xu, Xiaoling Xu*, Yongzhong Du*, Jiansong Ji*. Ferritin-hijacking Nanoparticles Spatiotemporally Directing Endogenous Ferroptosis for Synergistic Anticancer Therapy. Advanced Materials, 2022, 34(51): e2207174</w:t>
            </w:r>
          </w:p>
          <w:p w14:paraId="3BF9CDFF">
            <w:pPr>
              <w:pStyle w:val="11"/>
              <w:numPr>
                <w:ilvl w:val="0"/>
                <w:numId w:val="1"/>
              </w:numPr>
              <w:ind w:firstLineChars="0"/>
              <w:rPr>
                <w:rFonts w:eastAsia="仿宋_GB2312"/>
                <w:bCs/>
                <w:sz w:val="18"/>
                <w:szCs w:val="18"/>
              </w:rPr>
            </w:pPr>
            <w:r>
              <w:rPr>
                <w:rFonts w:eastAsia="仿宋_GB2312"/>
                <w:bCs/>
                <w:sz w:val="18"/>
                <w:szCs w:val="18"/>
              </w:rPr>
              <w:t>Minjiang Chen#, Gaofeng Shu#, Xiuling Lv#, Xiaoling Xu, Chenying Lu, Enqi Qiao, Shiji Fang, Lin Shen, Nannan Zhang, Jun Wang, Chunmiao Chen, Jingjing Song, Zhuang Liu*, Yongzhong Du*, Jiansong Ji*. HIF-2α-targeted interventional chemoembolization multifunctional microspheres for effective elimination of hepatocellular carcinoma. Biomaterials, 2022, 284: 121512</w:t>
            </w:r>
          </w:p>
          <w:p w14:paraId="2A01003B">
            <w:pPr>
              <w:pStyle w:val="11"/>
              <w:numPr>
                <w:ilvl w:val="0"/>
                <w:numId w:val="1"/>
              </w:numPr>
              <w:ind w:firstLineChars="0"/>
              <w:rPr>
                <w:rFonts w:eastAsia="仿宋_GB2312"/>
                <w:bCs/>
                <w:sz w:val="18"/>
                <w:szCs w:val="18"/>
              </w:rPr>
            </w:pPr>
            <w:r>
              <w:rPr>
                <w:rFonts w:eastAsia="仿宋_GB2312"/>
                <w:bCs/>
                <w:sz w:val="18"/>
                <w:szCs w:val="18"/>
              </w:rPr>
              <w:t>Huali Lei, Quguang Li, Guangqiang Li, Tianyi Wang, Xinjing Lv, Zifan Pei, Xiang Gao, Nailin Yang, Fei Gong, Yuqi Yang, Guanghui Hou, Minjiang Chen, Jiansong Ji*, Zhuang Liu*, Liang Cheng*. Manganese molybdate nanodots with dual amplification of STING activation for “cycle” treatment of metalloimmunotherapy. Bioactive Materials, 2023, 31: 53-62</w:t>
            </w:r>
          </w:p>
          <w:p w14:paraId="1C0CFB2A">
            <w:pPr>
              <w:pStyle w:val="11"/>
              <w:numPr>
                <w:ilvl w:val="0"/>
                <w:numId w:val="1"/>
              </w:numPr>
              <w:ind w:firstLineChars="0"/>
              <w:rPr>
                <w:rFonts w:eastAsia="仿宋_GB2312"/>
                <w:bCs/>
                <w:sz w:val="18"/>
                <w:szCs w:val="18"/>
              </w:rPr>
            </w:pPr>
            <w:r>
              <w:rPr>
                <w:rFonts w:eastAsia="仿宋_GB2312"/>
                <w:bCs/>
                <w:sz w:val="18"/>
                <w:szCs w:val="18"/>
              </w:rPr>
              <w:t>Shiji Fang#, Liyun Zheng#, Gaofeng Shu#, Chen Xiaoxiao, Xiaoju Guo, Yiming Ding, Wenjing Yang, Jiale Chen, Zhongwei Zhao, Jianfei Tu, Minjiang Chen*, Jiansong Ji*. Multiple Immunomodulatory Strategies Based on Targeted Regulation of Proprotein Convertase Subtilisin/Kexin Type 9 and Immune Homeostasis against Hepatocellular Carcinoma. ACS Nano, 2024, 18(12): 8811-8826</w:t>
            </w:r>
          </w:p>
          <w:p w14:paraId="14854D1D">
            <w:pPr>
              <w:pStyle w:val="11"/>
              <w:numPr>
                <w:ilvl w:val="0"/>
                <w:numId w:val="1"/>
              </w:numPr>
              <w:ind w:firstLineChars="0"/>
              <w:rPr>
                <w:rFonts w:eastAsia="仿宋_GB2312"/>
                <w:bCs/>
                <w:sz w:val="18"/>
                <w:szCs w:val="18"/>
              </w:rPr>
            </w:pPr>
            <w:r>
              <w:rPr>
                <w:rFonts w:eastAsia="仿宋_GB2312"/>
                <w:bCs/>
                <w:sz w:val="18"/>
                <w:szCs w:val="18"/>
              </w:rPr>
              <w:t xml:space="preserve">Haidong Zhu, Hailiang Li, Mingsheng Huang, Weizhu Yang, Guowen Yin, BinyYan Zhong, Junhui Sun, Zhicheng Jin, Jianjian Chen, Naijian Ge, Wenbin Ding, Wenhui Li, Jinhua Huang, Wei Mu, Shanzhi Gu, Jiaping Li, Hui Zhao, Shuwei Wen, Yanming Lei, Yusheng Song, Chunwang Yuan, Weidong Wang, Ming Huang, Wei Zhao, Jianbing Wu, Song Wang, Xu Zhu, Jianjun Han, Weixin Ren, Zaiming Lu, Wenge Xing, Yong Fan, Hailan Lin, Zishu Zhang, Guohui Xu, Wenhao Hu, Qiang Tu, Hongying Su, Chuansheng Zheng, Yong Chen, Xuya Zhao, Zhuting Fang, Qi Wang, Jinwei Zhao, Aibing Xu, Jian Xu, Qinghua Wu, Huanzhang Niu, Jian Wang, Feng Dai, Duiping Feng, Qingdong Li, Rongshu Shi, Jiarui Li, Guang Yang, Haibin Shi, Jiansong Ji, Yu-E Liu, Zheng Cai, Po Yang, Yang Zhao, Xiaoli Zhu*, Ligong Lu*, Gaojun Teng*, the CHANCE001 Investigators*. Transarterial chemoembolization with PD-(L)1 inhibitors plus molecular targeted therapies for hepatocellular carcinoma (CHANCE001). </w:t>
            </w:r>
            <w:r>
              <w:rPr>
                <w:rFonts w:eastAsia="仿宋_GB2312"/>
                <w:bCs/>
                <w:i/>
                <w:iCs/>
                <w:sz w:val="18"/>
                <w:szCs w:val="18"/>
              </w:rPr>
              <w:t>Signal Transduction and Targeted Therapy</w:t>
            </w:r>
            <w:r>
              <w:rPr>
                <w:rFonts w:eastAsia="仿宋_GB2312"/>
                <w:bCs/>
                <w:sz w:val="18"/>
                <w:szCs w:val="18"/>
              </w:rPr>
              <w:t>, 2023, 8(1): 58</w:t>
            </w:r>
          </w:p>
          <w:p w14:paraId="5CD1D81B">
            <w:pPr>
              <w:pStyle w:val="11"/>
              <w:numPr>
                <w:ilvl w:val="0"/>
                <w:numId w:val="1"/>
              </w:numPr>
              <w:ind w:firstLineChars="0"/>
              <w:jc w:val="left"/>
              <w:rPr>
                <w:rFonts w:eastAsia="仿宋"/>
                <w:bCs/>
                <w:sz w:val="18"/>
                <w:szCs w:val="18"/>
              </w:rPr>
            </w:pPr>
            <w:r>
              <w:rPr>
                <w:rFonts w:eastAsia="仿宋"/>
                <w:bCs/>
                <w:sz w:val="18"/>
                <w:szCs w:val="18"/>
              </w:rPr>
              <w:t>刘庄; 程亮 ;巩飞; 杨乃霖，活性金属微球、基于活性金属微球的复合栓塞剂及其应用，2024-06-28，中国，ZL 2022 1 0469169.6</w:t>
            </w:r>
          </w:p>
          <w:p w14:paraId="6C4A03E2">
            <w:pPr>
              <w:jc w:val="left"/>
              <w:rPr>
                <w:rFonts w:eastAsia="仿宋_GB2312"/>
                <w:bCs/>
                <w:sz w:val="18"/>
                <w:szCs w:val="18"/>
              </w:rPr>
            </w:pPr>
          </w:p>
          <w:p w14:paraId="1F12B3A6">
            <w:pPr>
              <w:jc w:val="left"/>
              <w:rPr>
                <w:rFonts w:eastAsia="仿宋_GB2312"/>
                <w:bCs/>
                <w:sz w:val="18"/>
                <w:szCs w:val="18"/>
              </w:rPr>
            </w:pPr>
          </w:p>
        </w:tc>
      </w:tr>
      <w:tr w14:paraId="0BA33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8" w:hRule="atLeast"/>
        </w:trPr>
        <w:tc>
          <w:tcPr>
            <w:tcW w:w="2269" w:type="dxa"/>
            <w:tcBorders>
              <w:right w:val="single" w:color="auto" w:sz="4" w:space="0"/>
            </w:tcBorders>
            <w:vAlign w:val="center"/>
          </w:tcPr>
          <w:p w14:paraId="4D2DD42E">
            <w:pPr>
              <w:jc w:val="center"/>
              <w:rPr>
                <w:rStyle w:val="10"/>
                <w:rFonts w:eastAsia="仿宋_GB2312"/>
                <w:b w:val="0"/>
                <w:color w:val="auto"/>
                <w:sz w:val="28"/>
                <w:szCs w:val="28"/>
              </w:rPr>
            </w:pPr>
            <w:r>
              <w:rPr>
                <w:rStyle w:val="10"/>
                <w:rFonts w:eastAsia="仿宋_GB2312"/>
                <w:b w:val="0"/>
                <w:color w:val="auto"/>
                <w:sz w:val="28"/>
                <w:szCs w:val="28"/>
              </w:rPr>
              <w:t>主要完成人</w:t>
            </w:r>
          </w:p>
        </w:tc>
        <w:tc>
          <w:tcPr>
            <w:tcW w:w="6237" w:type="dxa"/>
            <w:tcBorders>
              <w:left w:val="single" w:color="auto" w:sz="4" w:space="0"/>
            </w:tcBorders>
            <w:vAlign w:val="center"/>
          </w:tcPr>
          <w:p w14:paraId="7231CB04">
            <w:pPr>
              <w:spacing w:line="440" w:lineRule="exact"/>
              <w:rPr>
                <w:rFonts w:eastAsia="仿宋"/>
                <w:bCs/>
                <w:sz w:val="24"/>
                <w:szCs w:val="24"/>
              </w:rPr>
            </w:pPr>
            <w:r>
              <w:rPr>
                <w:rFonts w:eastAsia="仿宋"/>
                <w:bCs/>
                <w:sz w:val="24"/>
                <w:szCs w:val="24"/>
              </w:rPr>
              <w:t>纪建松，排名1，主任医师，温州医科大学附属第五医院；</w:t>
            </w:r>
          </w:p>
          <w:p w14:paraId="7B463E47">
            <w:pPr>
              <w:spacing w:line="440" w:lineRule="exact"/>
              <w:rPr>
                <w:rFonts w:eastAsia="仿宋"/>
                <w:bCs/>
                <w:sz w:val="24"/>
                <w:szCs w:val="24"/>
              </w:rPr>
            </w:pPr>
            <w:r>
              <w:rPr>
                <w:rFonts w:eastAsia="仿宋"/>
                <w:bCs/>
                <w:sz w:val="24"/>
                <w:szCs w:val="24"/>
              </w:rPr>
              <w:t>刘庄，排名2，教授，苏州大学</w:t>
            </w:r>
            <w:r>
              <w:rPr>
                <w:rFonts w:hint="eastAsia" w:eastAsia="仿宋"/>
                <w:bCs/>
                <w:sz w:val="24"/>
                <w:szCs w:val="24"/>
              </w:rPr>
              <w:t>，</w:t>
            </w:r>
            <w:r>
              <w:rPr>
                <w:rFonts w:eastAsia="仿宋"/>
                <w:bCs/>
                <w:sz w:val="24"/>
                <w:szCs w:val="24"/>
              </w:rPr>
              <w:t>重庆百迈腾世医药科技有限公司</w:t>
            </w:r>
            <w:r>
              <w:rPr>
                <w:rFonts w:hint="eastAsia" w:eastAsia="仿宋"/>
                <w:bCs/>
                <w:sz w:val="24"/>
                <w:szCs w:val="24"/>
              </w:rPr>
              <w:t>；</w:t>
            </w:r>
          </w:p>
          <w:p w14:paraId="58C93F51">
            <w:pPr>
              <w:spacing w:line="440" w:lineRule="exact"/>
              <w:rPr>
                <w:rFonts w:eastAsia="仿宋"/>
                <w:bCs/>
                <w:sz w:val="24"/>
                <w:szCs w:val="24"/>
              </w:rPr>
            </w:pPr>
            <w:r>
              <w:rPr>
                <w:rFonts w:eastAsia="仿宋"/>
                <w:bCs/>
                <w:sz w:val="24"/>
                <w:szCs w:val="24"/>
              </w:rPr>
              <w:t>陈敏江，排名3，特聘研究员，温州医科大学附属第五医院；</w:t>
            </w:r>
          </w:p>
          <w:p w14:paraId="50D0244D">
            <w:pPr>
              <w:spacing w:line="440" w:lineRule="exact"/>
              <w:rPr>
                <w:rFonts w:eastAsia="仿宋"/>
                <w:bCs/>
                <w:sz w:val="24"/>
                <w:szCs w:val="24"/>
              </w:rPr>
            </w:pPr>
            <w:r>
              <w:rPr>
                <w:rFonts w:eastAsia="仿宋"/>
                <w:bCs/>
                <w:sz w:val="24"/>
                <w:szCs w:val="24"/>
              </w:rPr>
              <w:t>杜永忠，排名4，教授，浙江大学；</w:t>
            </w:r>
          </w:p>
          <w:p w14:paraId="6213E3AE">
            <w:pPr>
              <w:spacing w:line="440" w:lineRule="exact"/>
              <w:rPr>
                <w:rFonts w:eastAsia="仿宋"/>
                <w:bCs/>
                <w:sz w:val="24"/>
                <w:szCs w:val="24"/>
              </w:rPr>
            </w:pPr>
            <w:r>
              <w:rPr>
                <w:rFonts w:eastAsia="仿宋"/>
                <w:bCs/>
                <w:sz w:val="24"/>
                <w:szCs w:val="24"/>
              </w:rPr>
              <w:t>朱海东，排名</w:t>
            </w:r>
            <w:r>
              <w:rPr>
                <w:rFonts w:hint="eastAsia" w:eastAsia="仿宋"/>
                <w:bCs/>
                <w:sz w:val="24"/>
                <w:szCs w:val="24"/>
              </w:rPr>
              <w:t>5，主任医师，东南大学附属中大医院</w:t>
            </w:r>
          </w:p>
          <w:p w14:paraId="5FB4A7E0">
            <w:pPr>
              <w:spacing w:line="440" w:lineRule="exact"/>
              <w:rPr>
                <w:rFonts w:eastAsia="仿宋"/>
                <w:bCs/>
                <w:sz w:val="24"/>
                <w:szCs w:val="24"/>
              </w:rPr>
            </w:pPr>
            <w:r>
              <w:rPr>
                <w:rFonts w:eastAsia="仿宋"/>
                <w:bCs/>
                <w:sz w:val="24"/>
                <w:szCs w:val="24"/>
              </w:rPr>
              <w:t>徐民，排名6，主任医师，温州医科大学附属第五医院；</w:t>
            </w:r>
          </w:p>
          <w:p w14:paraId="23EB2BD6">
            <w:pPr>
              <w:spacing w:line="440" w:lineRule="exact"/>
              <w:rPr>
                <w:rFonts w:eastAsia="仿宋"/>
                <w:bCs/>
                <w:sz w:val="24"/>
                <w:szCs w:val="24"/>
              </w:rPr>
            </w:pPr>
            <w:r>
              <w:rPr>
                <w:rFonts w:eastAsia="仿宋"/>
                <w:bCs/>
                <w:sz w:val="24"/>
                <w:szCs w:val="24"/>
              </w:rPr>
              <w:t>涂建飞，排名7，主任医师，温州医科大学附属第五医院；</w:t>
            </w:r>
          </w:p>
          <w:p w14:paraId="39B9FE3B">
            <w:pPr>
              <w:spacing w:line="440" w:lineRule="exact"/>
              <w:rPr>
                <w:rFonts w:eastAsia="仿宋"/>
                <w:bCs/>
                <w:sz w:val="24"/>
                <w:szCs w:val="24"/>
              </w:rPr>
            </w:pPr>
            <w:r>
              <w:rPr>
                <w:rFonts w:eastAsia="仿宋"/>
                <w:bCs/>
                <w:sz w:val="24"/>
                <w:szCs w:val="24"/>
              </w:rPr>
              <w:t>赵中伟，排名8，主任医师，温州医科大学附属第五医院；</w:t>
            </w:r>
          </w:p>
          <w:p w14:paraId="4C9C43AB">
            <w:pPr>
              <w:spacing w:line="440" w:lineRule="exact"/>
              <w:rPr>
                <w:rFonts w:eastAsia="仿宋"/>
                <w:bCs/>
                <w:sz w:val="24"/>
                <w:szCs w:val="24"/>
              </w:rPr>
            </w:pPr>
            <w:r>
              <w:rPr>
                <w:rFonts w:eastAsia="仿宋"/>
                <w:bCs/>
                <w:sz w:val="24"/>
                <w:szCs w:val="24"/>
              </w:rPr>
              <w:t>卢陈英，排名9，主任医师，温州医科大学附属第五医院；</w:t>
            </w:r>
          </w:p>
          <w:p w14:paraId="4D19AB58">
            <w:pPr>
              <w:spacing w:line="440" w:lineRule="exact"/>
              <w:rPr>
                <w:rFonts w:eastAsia="仿宋"/>
                <w:bCs/>
                <w:sz w:val="24"/>
                <w:szCs w:val="24"/>
              </w:rPr>
            </w:pPr>
            <w:r>
              <w:rPr>
                <w:rFonts w:eastAsia="仿宋"/>
                <w:bCs/>
                <w:sz w:val="24"/>
                <w:szCs w:val="24"/>
              </w:rPr>
              <w:t>陈为谦，排名10，副主任医师，温州医科大学附属第五医院；</w:t>
            </w:r>
          </w:p>
          <w:p w14:paraId="506E4773">
            <w:pPr>
              <w:spacing w:line="440" w:lineRule="exact"/>
              <w:rPr>
                <w:rFonts w:eastAsia="仿宋"/>
                <w:bCs/>
                <w:sz w:val="24"/>
                <w:szCs w:val="24"/>
              </w:rPr>
            </w:pPr>
            <w:r>
              <w:rPr>
                <w:rFonts w:eastAsia="仿宋"/>
                <w:bCs/>
                <w:sz w:val="24"/>
                <w:szCs w:val="24"/>
              </w:rPr>
              <w:t>殳高峰，排名11，副研究员，温州医科大学附属第五医院；</w:t>
            </w:r>
          </w:p>
          <w:p w14:paraId="5DA6BFA3">
            <w:pPr>
              <w:spacing w:line="440" w:lineRule="exact"/>
              <w:rPr>
                <w:rFonts w:eastAsia="仿宋"/>
                <w:bCs/>
                <w:sz w:val="24"/>
                <w:szCs w:val="24"/>
              </w:rPr>
            </w:pPr>
            <w:r>
              <w:rPr>
                <w:rFonts w:eastAsia="仿宋"/>
                <w:bCs/>
                <w:sz w:val="24"/>
                <w:szCs w:val="24"/>
              </w:rPr>
              <w:t>杨阳，排名12，研究员，温州医科大学附属第五医院；</w:t>
            </w:r>
          </w:p>
          <w:p w14:paraId="5C0D7736">
            <w:pPr>
              <w:spacing w:line="440" w:lineRule="exact"/>
              <w:rPr>
                <w:rFonts w:eastAsia="仿宋"/>
                <w:bCs/>
                <w:sz w:val="24"/>
                <w:szCs w:val="24"/>
              </w:rPr>
            </w:pPr>
            <w:r>
              <w:rPr>
                <w:rFonts w:eastAsia="仿宋"/>
                <w:bCs/>
                <w:sz w:val="24"/>
                <w:szCs w:val="24"/>
              </w:rPr>
              <w:t>张祥满，排名13，副总经理，苏州恒瑞医疗器械有限公司</w:t>
            </w:r>
            <w:r>
              <w:rPr>
                <w:rFonts w:eastAsia="仿宋"/>
                <w:sz w:val="24"/>
              </w:rPr>
              <w:t>。</w:t>
            </w:r>
          </w:p>
        </w:tc>
      </w:tr>
      <w:tr w14:paraId="6E86CA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86" w:hRule="atLeast"/>
        </w:trPr>
        <w:tc>
          <w:tcPr>
            <w:tcW w:w="2269" w:type="dxa"/>
            <w:tcBorders>
              <w:right w:val="single" w:color="auto" w:sz="4" w:space="0"/>
            </w:tcBorders>
            <w:vAlign w:val="center"/>
          </w:tcPr>
          <w:p w14:paraId="0FD8E010">
            <w:pPr>
              <w:jc w:val="center"/>
              <w:rPr>
                <w:rStyle w:val="10"/>
                <w:rFonts w:eastAsia="仿宋_GB2312"/>
                <w:b w:val="0"/>
                <w:color w:val="auto"/>
                <w:sz w:val="28"/>
                <w:szCs w:val="28"/>
              </w:rPr>
            </w:pPr>
            <w:r>
              <w:rPr>
                <w:rStyle w:val="10"/>
                <w:rFonts w:eastAsia="仿宋_GB2312"/>
                <w:b w:val="0"/>
                <w:color w:val="auto"/>
                <w:sz w:val="28"/>
                <w:szCs w:val="28"/>
              </w:rPr>
              <w:t>主要完成单位</w:t>
            </w:r>
          </w:p>
        </w:tc>
        <w:tc>
          <w:tcPr>
            <w:tcW w:w="6237" w:type="dxa"/>
            <w:tcBorders>
              <w:left w:val="single" w:color="auto" w:sz="4" w:space="0"/>
            </w:tcBorders>
            <w:vAlign w:val="center"/>
          </w:tcPr>
          <w:p w14:paraId="0E18910B">
            <w:pPr>
              <w:spacing w:line="440" w:lineRule="exact"/>
              <w:jc w:val="left"/>
              <w:rPr>
                <w:rFonts w:eastAsia="仿宋"/>
                <w:bCs/>
                <w:sz w:val="24"/>
                <w:szCs w:val="24"/>
              </w:rPr>
            </w:pPr>
            <w:r>
              <w:rPr>
                <w:rFonts w:eastAsia="仿宋"/>
                <w:bCs/>
                <w:sz w:val="24"/>
                <w:szCs w:val="24"/>
              </w:rPr>
              <w:t>1.单位名称：温州医科大学附属第五医院</w:t>
            </w:r>
          </w:p>
          <w:p w14:paraId="5F81148F">
            <w:pPr>
              <w:spacing w:line="440" w:lineRule="exact"/>
              <w:jc w:val="left"/>
              <w:rPr>
                <w:rFonts w:eastAsia="仿宋"/>
                <w:bCs/>
                <w:sz w:val="24"/>
                <w:szCs w:val="24"/>
              </w:rPr>
            </w:pPr>
            <w:r>
              <w:rPr>
                <w:rFonts w:eastAsia="仿宋"/>
                <w:bCs/>
                <w:sz w:val="24"/>
                <w:szCs w:val="24"/>
              </w:rPr>
              <w:t>2.单位名称：苏州大学</w:t>
            </w:r>
          </w:p>
          <w:p w14:paraId="75FE8950">
            <w:pPr>
              <w:spacing w:line="440" w:lineRule="exact"/>
              <w:jc w:val="left"/>
              <w:rPr>
                <w:rFonts w:eastAsia="仿宋"/>
                <w:bCs/>
                <w:sz w:val="24"/>
                <w:szCs w:val="24"/>
              </w:rPr>
            </w:pPr>
            <w:r>
              <w:rPr>
                <w:rFonts w:eastAsia="仿宋"/>
                <w:bCs/>
                <w:sz w:val="24"/>
                <w:szCs w:val="24"/>
              </w:rPr>
              <w:t>3.单位名称：东南大学附属中大医院</w:t>
            </w:r>
          </w:p>
          <w:p w14:paraId="04D415D6">
            <w:pPr>
              <w:spacing w:line="440" w:lineRule="exact"/>
              <w:jc w:val="left"/>
              <w:rPr>
                <w:rFonts w:eastAsia="仿宋"/>
                <w:bCs/>
                <w:sz w:val="24"/>
                <w:szCs w:val="24"/>
              </w:rPr>
            </w:pPr>
            <w:r>
              <w:rPr>
                <w:rFonts w:eastAsia="仿宋"/>
                <w:bCs/>
                <w:sz w:val="24"/>
                <w:szCs w:val="24"/>
              </w:rPr>
              <w:t>4.单位名称：浙江大学</w:t>
            </w:r>
          </w:p>
          <w:p w14:paraId="12E4EEA7">
            <w:pPr>
              <w:spacing w:line="440" w:lineRule="exact"/>
              <w:jc w:val="left"/>
              <w:rPr>
                <w:rFonts w:eastAsia="仿宋"/>
                <w:bCs/>
                <w:sz w:val="24"/>
                <w:szCs w:val="24"/>
              </w:rPr>
            </w:pPr>
            <w:r>
              <w:rPr>
                <w:rFonts w:eastAsia="仿宋"/>
                <w:bCs/>
                <w:sz w:val="24"/>
                <w:szCs w:val="24"/>
              </w:rPr>
              <w:t>5.单位名称：苏州恒瑞医疗器械有限公司</w:t>
            </w:r>
          </w:p>
          <w:p w14:paraId="40E6BA53">
            <w:pPr>
              <w:spacing w:line="440" w:lineRule="exact"/>
              <w:jc w:val="left"/>
              <w:rPr>
                <w:rFonts w:eastAsia="仿宋"/>
                <w:bCs/>
                <w:sz w:val="24"/>
                <w:szCs w:val="24"/>
              </w:rPr>
            </w:pPr>
            <w:r>
              <w:rPr>
                <w:rFonts w:eastAsia="仿宋"/>
                <w:bCs/>
                <w:sz w:val="24"/>
                <w:szCs w:val="24"/>
              </w:rPr>
              <w:t>6.单位名称：重庆百迈腾世医药科技有限公司</w:t>
            </w:r>
          </w:p>
        </w:tc>
      </w:tr>
      <w:tr w14:paraId="041567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269" w:type="dxa"/>
            <w:vAlign w:val="center"/>
          </w:tcPr>
          <w:p w14:paraId="44064FBA">
            <w:pPr>
              <w:jc w:val="center"/>
              <w:rPr>
                <w:rStyle w:val="10"/>
                <w:rFonts w:eastAsia="仿宋_GB2312"/>
                <w:b w:val="0"/>
                <w:color w:val="auto"/>
                <w:sz w:val="28"/>
                <w:szCs w:val="28"/>
              </w:rPr>
            </w:pPr>
            <w:r>
              <w:rPr>
                <w:rStyle w:val="10"/>
                <w:rFonts w:eastAsia="仿宋_GB2312"/>
                <w:b w:val="0"/>
                <w:color w:val="auto"/>
                <w:sz w:val="28"/>
                <w:szCs w:val="28"/>
              </w:rPr>
              <w:t>提名单位</w:t>
            </w:r>
          </w:p>
        </w:tc>
        <w:tc>
          <w:tcPr>
            <w:tcW w:w="6237" w:type="dxa"/>
            <w:vAlign w:val="center"/>
          </w:tcPr>
          <w:p w14:paraId="412D5B53">
            <w:pPr>
              <w:spacing w:line="360" w:lineRule="auto"/>
              <w:jc w:val="center"/>
              <w:rPr>
                <w:rStyle w:val="10"/>
                <w:b w:val="0"/>
              </w:rPr>
            </w:pPr>
            <w:r>
              <w:rPr>
                <w:rFonts w:eastAsia="仿宋"/>
                <w:bCs/>
                <w:sz w:val="24"/>
                <w:szCs w:val="24"/>
              </w:rPr>
              <w:t>丽水市人民政府</w:t>
            </w:r>
          </w:p>
        </w:tc>
      </w:tr>
      <w:tr w14:paraId="4F683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3" w:hRule="atLeast"/>
        </w:trPr>
        <w:tc>
          <w:tcPr>
            <w:tcW w:w="2269" w:type="dxa"/>
            <w:vAlign w:val="center"/>
          </w:tcPr>
          <w:p w14:paraId="4428E13E">
            <w:pPr>
              <w:jc w:val="center"/>
              <w:rPr>
                <w:rStyle w:val="10"/>
                <w:rFonts w:eastAsia="仿宋_GB2312"/>
                <w:b w:val="0"/>
                <w:sz w:val="28"/>
                <w:szCs w:val="28"/>
              </w:rPr>
            </w:pPr>
            <w:r>
              <w:rPr>
                <w:rStyle w:val="10"/>
                <w:rFonts w:eastAsia="仿宋_GB2312"/>
                <w:b w:val="0"/>
                <w:color w:val="auto"/>
                <w:sz w:val="28"/>
                <w:szCs w:val="28"/>
              </w:rPr>
              <w:t>提名意见</w:t>
            </w:r>
          </w:p>
        </w:tc>
        <w:tc>
          <w:tcPr>
            <w:tcW w:w="6237" w:type="dxa"/>
            <w:vAlign w:val="center"/>
          </w:tcPr>
          <w:p w14:paraId="23EC6F78">
            <w:pPr>
              <w:spacing w:line="360" w:lineRule="auto"/>
              <w:rPr>
                <w:rFonts w:eastAsia="仿宋"/>
                <w:sz w:val="24"/>
              </w:rPr>
            </w:pPr>
            <w:r>
              <w:rPr>
                <w:rFonts w:eastAsia="仿宋"/>
                <w:sz w:val="24"/>
              </w:rPr>
              <w:t>中晚期肝癌的治疗一直是临床的难点，应对策略极为有限且疗效欠佳。该成果聚焦中晚期肝癌介入栓塞治疗关键技术突破，形成了新机制解析、新材料与器械开发、临床转化与应用的全链条原创性成果，</w:t>
            </w:r>
            <w:r>
              <w:rPr>
                <w:rFonts w:hint="eastAsia" w:eastAsia="仿宋"/>
                <w:sz w:val="24"/>
              </w:rPr>
              <w:t>具体如下：（1）在新机制解析方面，</w:t>
            </w:r>
            <w:r>
              <w:rPr>
                <w:rFonts w:eastAsia="仿宋"/>
                <w:sz w:val="24"/>
              </w:rPr>
              <w:t>创新性揭示了乏氧、酸性及免疫抑制微环境在肝癌进展中的作用机制，发现并确认MELK、LAMTOR1等多个增效潜力靶点，为提升介入栓塞疗效奠定了理论基础；</w:t>
            </w:r>
            <w:r>
              <w:rPr>
                <w:rFonts w:hint="eastAsia" w:eastAsia="仿宋"/>
                <w:sz w:val="24"/>
              </w:rPr>
              <w:t>（2）在</w:t>
            </w:r>
            <w:r>
              <w:rPr>
                <w:rFonts w:eastAsia="仿宋"/>
                <w:sz w:val="24"/>
              </w:rPr>
              <w:t>新材料与器械开发</w:t>
            </w:r>
            <w:r>
              <w:rPr>
                <w:rFonts w:hint="eastAsia" w:eastAsia="仿宋"/>
                <w:sz w:val="24"/>
              </w:rPr>
              <w:t>方面，创新性地</w:t>
            </w:r>
            <w:r>
              <w:rPr>
                <w:rFonts w:eastAsia="仿宋"/>
                <w:sz w:val="24"/>
              </w:rPr>
              <w:t>将溶瘤矿化细菌</w:t>
            </w:r>
            <w:r>
              <w:rPr>
                <w:rFonts w:hint="eastAsia" w:eastAsia="仿宋"/>
                <w:sz w:val="24"/>
              </w:rPr>
              <w:t>、金属镁、</w:t>
            </w:r>
            <w:r>
              <w:rPr>
                <w:rFonts w:eastAsia="仿宋"/>
                <w:sz w:val="24"/>
              </w:rPr>
              <w:t>碳酸钙等生物材料引入介入治疗，实现对肿瘤酸性、乏氧和免疫抑制微环境的长期调控，有效增强了介入化疗栓塞及序贯免疫治疗敏感性；</w:t>
            </w:r>
            <w:r>
              <w:rPr>
                <w:rFonts w:hint="eastAsia" w:eastAsia="仿宋"/>
                <w:sz w:val="24"/>
              </w:rPr>
              <w:t>（3）在临床转化与应用方面，开发的</w:t>
            </w:r>
            <w:r>
              <w:rPr>
                <w:rFonts w:eastAsia="仿宋"/>
                <w:sz w:val="24"/>
              </w:rPr>
              <w:t>可降解镁金属栓塞微球</w:t>
            </w:r>
            <w:r>
              <w:rPr>
                <w:rFonts w:hint="eastAsia" w:eastAsia="仿宋"/>
                <w:sz w:val="24"/>
              </w:rPr>
              <w:t>已成功</w:t>
            </w:r>
            <w:r>
              <w:rPr>
                <w:rFonts w:eastAsia="仿宋"/>
                <w:sz w:val="24"/>
              </w:rPr>
              <w:t>获批全国多中心临床试验</w:t>
            </w:r>
            <w:r>
              <w:rPr>
                <w:rFonts w:hint="eastAsia" w:eastAsia="仿宋"/>
                <w:sz w:val="24"/>
              </w:rPr>
              <w:t>，前期临床数据显示其客观缓解率（ORR）为93.3%，完全缓解率（CR）为73.3%，对比真实世界数据具有显著优势</w:t>
            </w:r>
            <w:r>
              <w:rPr>
                <w:rFonts w:hint="eastAsia" w:eastAsia="仿宋"/>
                <w:sz w:val="24"/>
                <w:lang w:eastAsia="zh-CN"/>
              </w:rPr>
              <w:t>，</w:t>
            </w:r>
            <w:r>
              <w:rPr>
                <w:rFonts w:hint="eastAsia" w:eastAsia="仿宋"/>
                <w:sz w:val="24"/>
                <w:lang w:val="en-US" w:eastAsia="zh-CN"/>
              </w:rPr>
              <w:t>且</w:t>
            </w:r>
            <w:r>
              <w:rPr>
                <w:rFonts w:eastAsia="仿宋"/>
                <w:sz w:val="24"/>
              </w:rPr>
              <w:t>自主研发的两款均一尺寸微球取得Ⅲ类医疗器械注册证并实现产业化；</w:t>
            </w:r>
            <w:r>
              <w:rPr>
                <w:rFonts w:hint="eastAsia" w:eastAsia="仿宋"/>
                <w:sz w:val="24"/>
                <w:lang w:eastAsia="zh-CN"/>
              </w:rPr>
              <w:t>（</w:t>
            </w:r>
            <w:r>
              <w:rPr>
                <w:rFonts w:hint="eastAsia" w:eastAsia="仿宋"/>
                <w:sz w:val="24"/>
                <w:lang w:val="en-US" w:eastAsia="zh-CN"/>
              </w:rPr>
              <w:t>4</w:t>
            </w:r>
            <w:r>
              <w:rPr>
                <w:rFonts w:hint="eastAsia" w:eastAsia="仿宋"/>
                <w:sz w:val="24"/>
                <w:lang w:eastAsia="zh-CN"/>
              </w:rPr>
              <w:t>）</w:t>
            </w:r>
            <w:r>
              <w:rPr>
                <w:rFonts w:eastAsia="仿宋"/>
                <w:sz w:val="24"/>
              </w:rPr>
              <w:t>提出并建立了TACE联合靶免的</w:t>
            </w:r>
            <w:r>
              <w:rPr>
                <w:rFonts w:hint="eastAsia" w:eastAsia="仿宋"/>
                <w:sz w:val="24"/>
                <w:lang w:val="en-US" w:eastAsia="zh-CN"/>
              </w:rPr>
              <w:t>创新</w:t>
            </w:r>
            <w:r>
              <w:rPr>
                <w:rFonts w:eastAsia="仿宋"/>
                <w:sz w:val="24"/>
              </w:rPr>
              <w:t>治疗策略，</w:t>
            </w:r>
            <w:r>
              <w:rPr>
                <w:rFonts w:hint="eastAsia" w:eastAsia="仿宋"/>
                <w:sz w:val="24"/>
                <w:lang w:val="en-US" w:eastAsia="zh-CN"/>
              </w:rPr>
              <w:t>将患者的</w:t>
            </w:r>
            <w:r>
              <w:rPr>
                <w:rFonts w:eastAsia="仿宋"/>
                <w:sz w:val="24"/>
              </w:rPr>
              <w:t>中位PFS由7.3–8.0个月延长至9.5–16.3个月，中位OS由13.8–15.7个月提升至19.2–23.3个月，ORR由32.0–34.5%提升至54.6–60.1%，显著提高了</w:t>
            </w:r>
            <w:r>
              <w:rPr>
                <w:rFonts w:hint="eastAsia" w:eastAsia="仿宋"/>
                <w:sz w:val="24"/>
                <w:lang w:val="en-US" w:eastAsia="zh-CN"/>
              </w:rPr>
              <w:t>中晚期肝癌的</w:t>
            </w:r>
            <w:r>
              <w:rPr>
                <w:rFonts w:eastAsia="仿宋"/>
                <w:sz w:val="24"/>
              </w:rPr>
              <w:t>长期生存与</w:t>
            </w:r>
            <w:r>
              <w:rPr>
                <w:rFonts w:hint="eastAsia" w:eastAsia="仿宋"/>
                <w:sz w:val="24"/>
                <w:lang w:val="en-US" w:eastAsia="zh-CN"/>
              </w:rPr>
              <w:t>临床</w:t>
            </w:r>
            <w:r>
              <w:rPr>
                <w:rFonts w:eastAsia="仿宋"/>
                <w:sz w:val="24"/>
              </w:rPr>
              <w:t>获益。该成果累计发表SCI论文54篇，ESI高被引论文11篇，总被引次数近3500次，授权国家发明专利20项。依托本项目累计培养国家级人才2人、省部级高层次人才8人，形成了肝癌介入综合诊治研究的高层次人才队伍。该成果在全国超20家不同的医疗机构进行了广泛推广应用，累计超7000名患者获益，取得了显著的社会效益。此外，项目研发的栓塞微球产品近三年累计产生近3亿元的经济效益。该成果整体研究层次高，且部分研究成果达到国际领先水平。</w:t>
            </w:r>
          </w:p>
          <w:p w14:paraId="6F55F36B">
            <w:pPr>
              <w:spacing w:line="360" w:lineRule="auto"/>
              <w:ind w:firstLine="480"/>
              <w:rPr>
                <w:rStyle w:val="10"/>
                <w:rFonts w:eastAsia="仿宋"/>
                <w:b w:val="0"/>
                <w:bCs w:val="0"/>
                <w:color w:val="auto"/>
                <w:szCs w:val="20"/>
              </w:rPr>
            </w:pPr>
            <w:r>
              <w:rPr>
                <w:rFonts w:eastAsia="仿宋"/>
                <w:sz w:val="24"/>
              </w:rPr>
              <w:t>同意推荐该项目为浙江省科技进步一等奖。</w:t>
            </w:r>
          </w:p>
        </w:tc>
      </w:tr>
    </w:tbl>
    <w:p w14:paraId="044ECB2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73F4DC5"/>
    <w:multiLevelType w:val="multilevel"/>
    <w:tmpl w:val="573F4DC5"/>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djYWFlNjA4MWI3ZjJiY2MzOGIyNDgzODNiNjRhNzcifQ=="/>
  </w:docVars>
  <w:rsids>
    <w:rsidRoot w:val="00F52816"/>
    <w:rsid w:val="000111B5"/>
    <w:rsid w:val="00034FD1"/>
    <w:rsid w:val="000B2C42"/>
    <w:rsid w:val="00157AC1"/>
    <w:rsid w:val="001D74E4"/>
    <w:rsid w:val="001E0458"/>
    <w:rsid w:val="0027020D"/>
    <w:rsid w:val="002950A6"/>
    <w:rsid w:val="002A5400"/>
    <w:rsid w:val="002F67A0"/>
    <w:rsid w:val="0030406C"/>
    <w:rsid w:val="003061D0"/>
    <w:rsid w:val="003273EE"/>
    <w:rsid w:val="003908BA"/>
    <w:rsid w:val="003F1AF3"/>
    <w:rsid w:val="003F59E7"/>
    <w:rsid w:val="004121B0"/>
    <w:rsid w:val="0044476E"/>
    <w:rsid w:val="005C2134"/>
    <w:rsid w:val="00622F65"/>
    <w:rsid w:val="00665FE8"/>
    <w:rsid w:val="0069797D"/>
    <w:rsid w:val="006A366C"/>
    <w:rsid w:val="00715FDF"/>
    <w:rsid w:val="007B03BC"/>
    <w:rsid w:val="007C7914"/>
    <w:rsid w:val="0086330E"/>
    <w:rsid w:val="008D3753"/>
    <w:rsid w:val="008F1C42"/>
    <w:rsid w:val="00967230"/>
    <w:rsid w:val="009B7178"/>
    <w:rsid w:val="00A04C54"/>
    <w:rsid w:val="00A56693"/>
    <w:rsid w:val="00B75D18"/>
    <w:rsid w:val="00BA6DB6"/>
    <w:rsid w:val="00D13A8A"/>
    <w:rsid w:val="00D23771"/>
    <w:rsid w:val="00D33532"/>
    <w:rsid w:val="00D6114A"/>
    <w:rsid w:val="00D8585D"/>
    <w:rsid w:val="00DE60FA"/>
    <w:rsid w:val="00DF7A36"/>
    <w:rsid w:val="00EB5085"/>
    <w:rsid w:val="00F20602"/>
    <w:rsid w:val="00F2692B"/>
    <w:rsid w:val="00F52816"/>
    <w:rsid w:val="00F61D94"/>
    <w:rsid w:val="00F83011"/>
    <w:rsid w:val="3CA236BC"/>
    <w:rsid w:val="613331CC"/>
    <w:rsid w:val="74CF2E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9"/>
    <w:qFormat/>
    <w:uiPriority w:val="9"/>
    <w:pPr>
      <w:keepNext/>
      <w:keepLines/>
      <w:widowControl/>
      <w:spacing w:before="340" w:after="330" w:line="578" w:lineRule="auto"/>
      <w:jc w:val="left"/>
      <w:outlineLvl w:val="0"/>
    </w:pPr>
    <w:rPr>
      <w:b/>
      <w:bCs/>
      <w:kern w:val="44"/>
      <w:sz w:val="44"/>
      <w:szCs w:val="44"/>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标题 1 字符"/>
    <w:basedOn w:val="6"/>
    <w:link w:val="2"/>
    <w:qFormat/>
    <w:uiPriority w:val="9"/>
    <w:rPr>
      <w:rFonts w:ascii="Times New Roman" w:hAnsi="Times New Roman" w:eastAsia="宋体" w:cs="Times New Roman"/>
      <w:b/>
      <w:bCs/>
      <w:kern w:val="44"/>
      <w:sz w:val="44"/>
      <w:szCs w:val="44"/>
    </w:rPr>
  </w:style>
  <w:style w:type="character" w:customStyle="1" w:styleId="10">
    <w:name w:val="title1"/>
    <w:qFormat/>
    <w:uiPriority w:val="0"/>
    <w:rPr>
      <w:b/>
      <w:bCs/>
      <w:color w:val="999900"/>
      <w:sz w:val="24"/>
      <w:szCs w:val="24"/>
    </w:rPr>
  </w:style>
  <w:style w:type="paragraph" w:styleId="1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1745</Words>
  <Characters>4466</Characters>
  <Lines>35</Lines>
  <Paragraphs>10</Paragraphs>
  <TotalTime>4</TotalTime>
  <ScaleCrop>false</ScaleCrop>
  <LinksUpToDate>false</LinksUpToDate>
  <CharactersWithSpaces>4969</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2023-01-03T02:02:00Z</dcterms:created>
  <dc:creator>徐璐 吴</dc:creator>
  <cp:lastModifiedBy>葛格</cp:lastModifiedBy>
  <dcterms:modified xsi:type="dcterms:W3CDTF">2025-09-16T01:01:01Z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8CF68D66B3DA48BCB5821B80941776BC_13</vt:lpwstr>
  </property>
  <property fmtid="{D5CDD505-2E9C-101B-9397-08002B2CF9AE}" pid="4" name="KSOTemplateDocerSaveRecord">
    <vt:lpwstr>eyJoZGlkIjoiYTdjYWFlNjA4MWI3ZjJiY2MzOGIyNDgzODNiNjRhNzciLCJ1c2VySWQiOiI0NTE5Njg4ODEifQ==</vt:lpwstr>
  </property>
</Properties>
</file>