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2987B7">
      <w:pPr>
        <w:jc w:val="center"/>
        <w:rPr>
          <w:rStyle w:val="36"/>
          <w:rFonts w:eastAsia="方正小标宋简体"/>
          <w:bCs w:val="0"/>
          <w:color w:val="auto"/>
          <w:sz w:val="36"/>
          <w:szCs w:val="36"/>
        </w:rPr>
      </w:pPr>
      <w:bookmarkStart w:id="4" w:name="_GoBack"/>
      <w:bookmarkEnd w:id="4"/>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14:paraId="2F484269">
      <w:pPr>
        <w:spacing w:line="440" w:lineRule="exact"/>
        <w:rPr>
          <w:rFonts w:eastAsia="仿宋_GB2312"/>
          <w:sz w:val="28"/>
          <w:szCs w:val="24"/>
        </w:rPr>
      </w:pPr>
      <w:r>
        <w:rPr>
          <w:rFonts w:eastAsia="仿宋_GB2312"/>
          <w:sz w:val="28"/>
          <w:szCs w:val="24"/>
        </w:rPr>
        <w:t>提名奖项：科学技术进步奖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10628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02288233">
            <w:pPr>
              <w:jc w:val="center"/>
              <w:rPr>
                <w:rStyle w:val="36"/>
                <w:rFonts w:eastAsia="仿宋_GB2312"/>
                <w:b w:val="0"/>
                <w:color w:val="auto"/>
                <w:sz w:val="28"/>
              </w:rPr>
            </w:pPr>
            <w:r>
              <w:rPr>
                <w:rStyle w:val="36"/>
                <w:rFonts w:eastAsia="仿宋_GB2312"/>
                <w:b w:val="0"/>
                <w:bCs w:val="0"/>
                <w:color w:val="auto"/>
                <w:sz w:val="28"/>
              </w:rPr>
              <w:t>成果名称</w:t>
            </w:r>
          </w:p>
        </w:tc>
        <w:tc>
          <w:tcPr>
            <w:tcW w:w="6237" w:type="dxa"/>
            <w:vAlign w:val="center"/>
          </w:tcPr>
          <w:p w14:paraId="6717A003">
            <w:pPr>
              <w:jc w:val="center"/>
              <w:rPr>
                <w:rStyle w:val="36"/>
                <w:rFonts w:ascii="仿宋" w:hAnsi="仿宋" w:eastAsia="仿宋"/>
                <w:b w:val="0"/>
                <w:color w:val="auto"/>
                <w:sz w:val="28"/>
              </w:rPr>
            </w:pPr>
            <w:r>
              <w:rPr>
                <w:rStyle w:val="36"/>
                <w:rFonts w:hint="eastAsia" w:ascii="仿宋" w:hAnsi="仿宋" w:eastAsia="仿宋"/>
                <w:b w:val="0"/>
                <w:color w:val="auto"/>
                <w:szCs w:val="22"/>
              </w:rPr>
              <w:t>面向供应</w:t>
            </w:r>
            <w:r>
              <w:rPr>
                <w:rStyle w:val="36"/>
                <w:rFonts w:hint="eastAsia" w:ascii="仿宋" w:hAnsi="仿宋" w:eastAsia="仿宋" w:cs="微软雅黑"/>
                <w:b w:val="0"/>
                <w:color w:val="auto"/>
                <w:szCs w:val="22"/>
              </w:rPr>
              <w:t>链</w:t>
            </w:r>
            <w:r>
              <w:rPr>
                <w:rStyle w:val="36"/>
                <w:rFonts w:hint="eastAsia" w:ascii="仿宋" w:hAnsi="仿宋" w:eastAsia="仿宋" w:cs="___WRD_EMBED_SUB_45"/>
                <w:b w:val="0"/>
                <w:color w:val="auto"/>
                <w:szCs w:val="22"/>
              </w:rPr>
              <w:t>数字化与低</w:t>
            </w:r>
            <w:r>
              <w:rPr>
                <w:rStyle w:val="36"/>
                <w:rFonts w:hint="eastAsia" w:ascii="仿宋" w:hAnsi="仿宋" w:eastAsia="仿宋" w:cs="微软雅黑"/>
                <w:b w:val="0"/>
                <w:color w:val="auto"/>
                <w:szCs w:val="22"/>
              </w:rPr>
              <w:t>碳</w:t>
            </w:r>
            <w:r>
              <w:rPr>
                <w:rStyle w:val="36"/>
                <w:rFonts w:hint="eastAsia" w:ascii="仿宋" w:hAnsi="仿宋" w:eastAsia="仿宋" w:cs="___WRD_EMBED_SUB_45"/>
                <w:b w:val="0"/>
                <w:color w:val="auto"/>
                <w:szCs w:val="22"/>
              </w:rPr>
              <w:t>化“双转型”的技术与管理协同理论及应用</w:t>
            </w:r>
          </w:p>
        </w:tc>
      </w:tr>
      <w:tr w14:paraId="34DF3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14:paraId="2F4F5D38">
            <w:pPr>
              <w:jc w:val="center"/>
              <w:rPr>
                <w:rStyle w:val="36"/>
                <w:rFonts w:eastAsia="仿宋_GB2312"/>
                <w:b w:val="0"/>
                <w:color w:val="auto"/>
                <w:sz w:val="28"/>
              </w:rPr>
            </w:pPr>
            <w:r>
              <w:rPr>
                <w:rStyle w:val="36"/>
                <w:rFonts w:eastAsia="仿宋_GB2312"/>
                <w:b w:val="0"/>
                <w:bCs w:val="0"/>
                <w:color w:val="auto"/>
                <w:sz w:val="28"/>
              </w:rPr>
              <w:t>提名等级</w:t>
            </w:r>
          </w:p>
        </w:tc>
        <w:tc>
          <w:tcPr>
            <w:tcW w:w="6237" w:type="dxa"/>
            <w:vAlign w:val="center"/>
          </w:tcPr>
          <w:p w14:paraId="12B7EBD6">
            <w:pPr>
              <w:jc w:val="center"/>
              <w:rPr>
                <w:rStyle w:val="36"/>
                <w:rFonts w:eastAsia="仿宋_GB2312"/>
                <w:b w:val="0"/>
                <w:color w:val="auto"/>
                <w:sz w:val="28"/>
              </w:rPr>
            </w:pPr>
            <w:r>
              <w:rPr>
                <w:rStyle w:val="36"/>
                <w:rFonts w:hint="eastAsia" w:eastAsia="仿宋_GB2312"/>
                <w:b w:val="0"/>
                <w:color w:val="auto"/>
                <w:sz w:val="28"/>
              </w:rPr>
              <w:t>二等奖</w:t>
            </w:r>
          </w:p>
        </w:tc>
      </w:tr>
      <w:tr w14:paraId="2FC40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1" w:hRule="atLeast"/>
        </w:trPr>
        <w:tc>
          <w:tcPr>
            <w:tcW w:w="2269" w:type="dxa"/>
            <w:vAlign w:val="center"/>
          </w:tcPr>
          <w:p w14:paraId="724BE9AE">
            <w:pPr>
              <w:spacing w:line="440" w:lineRule="exact"/>
              <w:jc w:val="center"/>
              <w:rPr>
                <w:rFonts w:eastAsia="仿宋_GB2312"/>
                <w:bCs/>
                <w:sz w:val="28"/>
                <w:szCs w:val="24"/>
              </w:rPr>
            </w:pPr>
            <w:r>
              <w:rPr>
                <w:rFonts w:eastAsia="仿宋_GB2312"/>
                <w:bCs/>
                <w:sz w:val="28"/>
                <w:szCs w:val="24"/>
              </w:rPr>
              <w:t>提名书</w:t>
            </w:r>
          </w:p>
          <w:p w14:paraId="6550BD82">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14:paraId="65830375">
            <w:pPr>
              <w:numPr>
                <w:ilvl w:val="0"/>
                <w:numId w:val="1"/>
              </w:numPr>
              <w:spacing w:line="276" w:lineRule="auto"/>
              <w:rPr>
                <w:bCs/>
                <w:kern w:val="0"/>
                <w:szCs w:val="21"/>
              </w:rPr>
            </w:pPr>
            <w:r>
              <w:rPr>
                <w:rFonts w:hint="eastAsia"/>
                <w:bCs/>
                <w:kern w:val="0"/>
                <w:szCs w:val="21"/>
              </w:rPr>
              <w:t>蔡建湖, 孙海宁</w:t>
            </w:r>
            <w:r>
              <w:rPr>
                <w:bCs/>
                <w:kern w:val="0"/>
                <w:szCs w:val="21"/>
              </w:rPr>
              <w:t>, Jennifer Shang, Gajanan G. Hegde. Information structure selection in a green supply chain: Impacts of wholesale price and greenness level</w:t>
            </w:r>
            <w:r>
              <w:rPr>
                <w:rFonts w:hint="eastAsia"/>
                <w:bCs/>
                <w:kern w:val="0"/>
                <w:szCs w:val="21"/>
              </w:rPr>
              <w:t>,</w:t>
            </w:r>
            <w:r>
              <w:rPr>
                <w:bCs/>
                <w:kern w:val="0"/>
                <w:szCs w:val="21"/>
              </w:rPr>
              <w:t xml:space="preserve"> European Journal of Operational Research, 2023.</w:t>
            </w:r>
          </w:p>
          <w:p w14:paraId="6E289A89">
            <w:pPr>
              <w:numPr>
                <w:ilvl w:val="0"/>
                <w:numId w:val="1"/>
              </w:numPr>
              <w:spacing w:line="276" w:lineRule="auto"/>
              <w:rPr>
                <w:bCs/>
                <w:kern w:val="0"/>
                <w:szCs w:val="21"/>
              </w:rPr>
            </w:pPr>
            <w:r>
              <w:rPr>
                <w:rFonts w:hint="eastAsia"/>
                <w:bCs/>
                <w:kern w:val="0"/>
                <w:szCs w:val="21"/>
              </w:rPr>
              <w:t>胡晓青, 蔡建湖</w:t>
            </w:r>
            <w:r>
              <w:rPr>
                <w:bCs/>
                <w:kern w:val="0"/>
                <w:szCs w:val="21"/>
              </w:rPr>
              <w:t xml:space="preserve">*, </w:t>
            </w:r>
            <w:r>
              <w:rPr>
                <w:rFonts w:hint="eastAsia"/>
                <w:bCs/>
                <w:kern w:val="0"/>
                <w:szCs w:val="21"/>
              </w:rPr>
              <w:t>岳晓航</w:t>
            </w:r>
            <w:r>
              <w:rPr>
                <w:bCs/>
                <w:kern w:val="0"/>
                <w:szCs w:val="21"/>
              </w:rPr>
              <w:t>. Power structure preferences in a dual-channel supply chain: Demand information symmetry vs. asymmetry</w:t>
            </w:r>
            <w:r>
              <w:rPr>
                <w:rFonts w:hint="eastAsia"/>
                <w:bCs/>
                <w:kern w:val="0"/>
                <w:szCs w:val="21"/>
              </w:rPr>
              <w:t>,</w:t>
            </w:r>
            <w:r>
              <w:rPr>
                <w:bCs/>
                <w:kern w:val="0"/>
                <w:szCs w:val="21"/>
              </w:rPr>
              <w:t xml:space="preserve"> </w:t>
            </w:r>
            <w:bookmarkStart w:id="0" w:name="_Hlk154067095"/>
            <w:r>
              <w:rPr>
                <w:bCs/>
                <w:kern w:val="0"/>
                <w:szCs w:val="21"/>
              </w:rPr>
              <w:t>European Journal of Operational Research</w:t>
            </w:r>
            <w:bookmarkEnd w:id="0"/>
            <w:r>
              <w:rPr>
                <w:bCs/>
                <w:kern w:val="0"/>
                <w:szCs w:val="21"/>
              </w:rPr>
              <w:t>,</w:t>
            </w:r>
            <w:r>
              <w:rPr>
                <w:rFonts w:hint="eastAsia"/>
                <w:bCs/>
                <w:kern w:val="0"/>
                <w:szCs w:val="21"/>
              </w:rPr>
              <w:t xml:space="preserve"> </w:t>
            </w:r>
            <w:r>
              <w:rPr>
                <w:bCs/>
                <w:kern w:val="0"/>
                <w:szCs w:val="21"/>
              </w:rPr>
              <w:t>202</w:t>
            </w:r>
            <w:r>
              <w:rPr>
                <w:rFonts w:hint="eastAsia"/>
                <w:bCs/>
                <w:kern w:val="0"/>
                <w:szCs w:val="21"/>
              </w:rPr>
              <w:t>4</w:t>
            </w:r>
            <w:r>
              <w:rPr>
                <w:bCs/>
                <w:kern w:val="0"/>
                <w:szCs w:val="21"/>
              </w:rPr>
              <w:t>.</w:t>
            </w:r>
          </w:p>
          <w:p w14:paraId="26BD5D5A">
            <w:pPr>
              <w:numPr>
                <w:ilvl w:val="0"/>
                <w:numId w:val="1"/>
              </w:numPr>
              <w:spacing w:line="276" w:lineRule="auto"/>
              <w:rPr>
                <w:bCs/>
                <w:kern w:val="0"/>
                <w:szCs w:val="21"/>
              </w:rPr>
            </w:pPr>
            <w:r>
              <w:rPr>
                <w:rFonts w:hint="eastAsia"/>
                <w:bCs/>
                <w:kern w:val="0"/>
                <w:szCs w:val="21"/>
              </w:rPr>
              <w:t>蔡建湖</w:t>
            </w:r>
            <w:r>
              <w:rPr>
                <w:bCs/>
                <w:kern w:val="0"/>
                <w:szCs w:val="21"/>
              </w:rPr>
              <w:t xml:space="preserve">, </w:t>
            </w:r>
            <w:r>
              <w:rPr>
                <w:rFonts w:hint="eastAsia"/>
                <w:bCs/>
                <w:kern w:val="0"/>
                <w:szCs w:val="21"/>
              </w:rPr>
              <w:t>蒋飞颖</w:t>
            </w:r>
            <w:r>
              <w:rPr>
                <w:bCs/>
                <w:kern w:val="0"/>
                <w:szCs w:val="21"/>
              </w:rPr>
              <w:t>. Decision models of pricing and carbon emission reduction for low-carbon supply chain under cap-and-trade regulation</w:t>
            </w:r>
            <w:r>
              <w:rPr>
                <w:rFonts w:hint="eastAsia"/>
                <w:bCs/>
                <w:kern w:val="0"/>
                <w:szCs w:val="21"/>
              </w:rPr>
              <w:t>,</w:t>
            </w:r>
            <w:r>
              <w:rPr>
                <w:bCs/>
                <w:kern w:val="0"/>
                <w:szCs w:val="21"/>
              </w:rPr>
              <w:t xml:space="preserve"> </w:t>
            </w:r>
            <w:bookmarkStart w:id="1" w:name="_Hlk154067212"/>
            <w:r>
              <w:rPr>
                <w:bCs/>
                <w:kern w:val="0"/>
                <w:szCs w:val="21"/>
              </w:rPr>
              <w:t>International Journal of Production Economics</w:t>
            </w:r>
            <w:bookmarkEnd w:id="1"/>
            <w:r>
              <w:rPr>
                <w:bCs/>
                <w:kern w:val="0"/>
                <w:szCs w:val="21"/>
              </w:rPr>
              <w:t>, 2023.</w:t>
            </w:r>
          </w:p>
          <w:p w14:paraId="6CEC29E0">
            <w:pPr>
              <w:numPr>
                <w:ilvl w:val="0"/>
                <w:numId w:val="1"/>
              </w:numPr>
              <w:spacing w:line="276" w:lineRule="auto"/>
              <w:rPr>
                <w:bCs/>
                <w:kern w:val="0"/>
                <w:szCs w:val="21"/>
              </w:rPr>
            </w:pPr>
            <w:r>
              <w:rPr>
                <w:rFonts w:hint="eastAsia"/>
                <w:bCs/>
                <w:kern w:val="0"/>
                <w:szCs w:val="21"/>
              </w:rPr>
              <w:t>蔡建湖,</w:t>
            </w:r>
            <w:r>
              <w:rPr>
                <w:bCs/>
                <w:kern w:val="0"/>
                <w:szCs w:val="21"/>
              </w:rPr>
              <w:t xml:space="preserve"> </w:t>
            </w:r>
            <w:r>
              <w:rPr>
                <w:rFonts w:hint="eastAsia"/>
                <w:bCs/>
                <w:kern w:val="0"/>
                <w:szCs w:val="21"/>
              </w:rPr>
              <w:t>曹朕纲</w:t>
            </w:r>
            <w:r>
              <w:rPr>
                <w:bCs/>
                <w:kern w:val="0"/>
                <w:szCs w:val="21"/>
              </w:rPr>
              <w:t>, Jennifer Shang. Blockchain adoption in a green supply chain: Considering information asymmetry of consumers’ privacy concern, International Journal of Production Economics, 2025.</w:t>
            </w:r>
          </w:p>
          <w:p w14:paraId="52C2ED0C">
            <w:pPr>
              <w:numPr>
                <w:ilvl w:val="0"/>
                <w:numId w:val="1"/>
              </w:numPr>
              <w:spacing w:line="276" w:lineRule="auto"/>
              <w:rPr>
                <w:bCs/>
                <w:kern w:val="0"/>
                <w:szCs w:val="21"/>
              </w:rPr>
            </w:pPr>
            <w:r>
              <w:rPr>
                <w:bCs/>
                <w:kern w:val="0"/>
                <w:szCs w:val="21"/>
              </w:rPr>
              <w:t>Hu W</w:t>
            </w:r>
            <w:r>
              <w:rPr>
                <w:rFonts w:hint="eastAsia"/>
                <w:bCs/>
                <w:kern w:val="0"/>
                <w:szCs w:val="21"/>
              </w:rPr>
              <w:t>enjin</w:t>
            </w:r>
            <w:r>
              <w:rPr>
                <w:bCs/>
                <w:kern w:val="0"/>
                <w:szCs w:val="21"/>
              </w:rPr>
              <w:t>, Skowronski Keith, Dong Y</w:t>
            </w:r>
            <w:r>
              <w:rPr>
                <w:rFonts w:hint="eastAsia"/>
                <w:bCs/>
                <w:kern w:val="0"/>
                <w:szCs w:val="21"/>
              </w:rPr>
              <w:t>an</w:t>
            </w:r>
            <w:r>
              <w:rPr>
                <w:bCs/>
                <w:kern w:val="0"/>
                <w:szCs w:val="21"/>
              </w:rPr>
              <w:t xml:space="preserve">, </w:t>
            </w:r>
            <w:bookmarkStart w:id="2" w:name="OLE_LINK2"/>
            <w:r>
              <w:rPr>
                <w:rFonts w:hint="eastAsia"/>
                <w:bCs/>
                <w:kern w:val="0"/>
                <w:szCs w:val="21"/>
              </w:rPr>
              <w:t>寿涌毅</w:t>
            </w:r>
            <w:bookmarkEnd w:id="2"/>
            <w:r>
              <w:rPr>
                <w:bCs/>
                <w:kern w:val="0"/>
                <w:szCs w:val="21"/>
              </w:rPr>
              <w:t>. Mergers and acquisitions in supply bases</w:t>
            </w:r>
            <w:r>
              <w:rPr>
                <w:rFonts w:hint="eastAsia"/>
                <w:bCs/>
                <w:kern w:val="0"/>
                <w:szCs w:val="21"/>
              </w:rPr>
              <w:t>,</w:t>
            </w:r>
            <w:r>
              <w:rPr>
                <w:bCs/>
                <w:kern w:val="0"/>
                <w:szCs w:val="21"/>
              </w:rPr>
              <w:t xml:space="preserve"> Production and Operations Management</w:t>
            </w:r>
            <w:r>
              <w:rPr>
                <w:rFonts w:hint="eastAsia"/>
                <w:bCs/>
                <w:kern w:val="0"/>
                <w:szCs w:val="21"/>
              </w:rPr>
              <w:t xml:space="preserve">, </w:t>
            </w:r>
            <w:r>
              <w:rPr>
                <w:bCs/>
                <w:kern w:val="0"/>
                <w:szCs w:val="21"/>
              </w:rPr>
              <w:t>2023</w:t>
            </w:r>
            <w:r>
              <w:rPr>
                <w:rFonts w:hint="eastAsia"/>
                <w:bCs/>
                <w:kern w:val="0"/>
                <w:szCs w:val="21"/>
              </w:rPr>
              <w:t>.</w:t>
            </w:r>
          </w:p>
          <w:p w14:paraId="6D8A796C">
            <w:pPr>
              <w:numPr>
                <w:ilvl w:val="0"/>
                <w:numId w:val="1"/>
              </w:numPr>
              <w:spacing w:line="276" w:lineRule="auto"/>
              <w:rPr>
                <w:bCs/>
                <w:kern w:val="0"/>
                <w:szCs w:val="21"/>
              </w:rPr>
            </w:pPr>
            <w:r>
              <w:rPr>
                <w:rFonts w:hint="eastAsia"/>
                <w:bCs/>
                <w:kern w:val="0"/>
                <w:szCs w:val="21"/>
              </w:rPr>
              <w:t xml:space="preserve">寿涌毅, 单雪澍, 戴菁, 徐栋, 车文. </w:t>
            </w:r>
            <w:r>
              <w:rPr>
                <w:bCs/>
                <w:kern w:val="0"/>
                <w:szCs w:val="21"/>
              </w:rPr>
              <w:t>Actions speak louder than words? The impact of subjective norms in the supply chain on green innovation. International Journal of Operations &amp; Production Management</w:t>
            </w:r>
            <w:r>
              <w:rPr>
                <w:rFonts w:hint="eastAsia"/>
                <w:bCs/>
                <w:kern w:val="0"/>
                <w:szCs w:val="21"/>
              </w:rPr>
              <w:t>, 2023.</w:t>
            </w:r>
          </w:p>
          <w:p w14:paraId="5DEE2990">
            <w:pPr>
              <w:numPr>
                <w:ilvl w:val="0"/>
                <w:numId w:val="1"/>
              </w:numPr>
              <w:spacing w:line="276" w:lineRule="auto"/>
              <w:rPr>
                <w:bCs/>
                <w:kern w:val="0"/>
                <w:szCs w:val="21"/>
              </w:rPr>
            </w:pPr>
            <w:r>
              <w:rPr>
                <w:rFonts w:hint="eastAsia"/>
                <w:bCs/>
                <w:kern w:val="0"/>
                <w:szCs w:val="21"/>
              </w:rPr>
              <w:t xml:space="preserve">王伟姣, </w:t>
            </w:r>
            <w:r>
              <w:rPr>
                <w:bCs/>
                <w:kern w:val="0"/>
                <w:szCs w:val="21"/>
              </w:rPr>
              <w:t>Lai Kee-Hung</w:t>
            </w:r>
            <w:r>
              <w:rPr>
                <w:rFonts w:hint="eastAsia"/>
                <w:bCs/>
                <w:kern w:val="0"/>
                <w:szCs w:val="21"/>
              </w:rPr>
              <w:t>, 寿涌毅</w:t>
            </w:r>
            <w:r>
              <w:rPr>
                <w:bCs/>
                <w:kern w:val="0"/>
                <w:szCs w:val="21"/>
              </w:rPr>
              <w:t>. The impact of servitization on firm performance: a meta-analysis. International Journal of Operations &amp; Production Management,</w:t>
            </w:r>
            <w:r>
              <w:rPr>
                <w:rFonts w:hint="eastAsia"/>
                <w:bCs/>
                <w:kern w:val="0"/>
                <w:szCs w:val="21"/>
              </w:rPr>
              <w:t xml:space="preserve"> 2018</w:t>
            </w:r>
            <w:r>
              <w:rPr>
                <w:bCs/>
                <w:kern w:val="0"/>
                <w:szCs w:val="21"/>
              </w:rPr>
              <w:t>.</w:t>
            </w:r>
          </w:p>
          <w:p w14:paraId="043AB1C4">
            <w:pPr>
              <w:numPr>
                <w:ilvl w:val="0"/>
                <w:numId w:val="1"/>
              </w:numPr>
              <w:spacing w:line="276" w:lineRule="auto"/>
              <w:rPr>
                <w:bCs/>
                <w:kern w:val="0"/>
                <w:szCs w:val="21"/>
              </w:rPr>
            </w:pPr>
            <w:r>
              <w:rPr>
                <w:rFonts w:hint="eastAsia"/>
                <w:bCs/>
                <w:kern w:val="0"/>
                <w:szCs w:val="21"/>
              </w:rPr>
              <w:t xml:space="preserve">卞文良, Jennifer Shang, 张菊亮. </w:t>
            </w:r>
            <w:r>
              <w:rPr>
                <w:bCs/>
                <w:kern w:val="0"/>
                <w:szCs w:val="21"/>
              </w:rPr>
              <w:t>Two-way information sharing under supply chain competition</w:t>
            </w:r>
            <w:r>
              <w:rPr>
                <w:rFonts w:hint="eastAsia"/>
                <w:bCs/>
                <w:kern w:val="0"/>
                <w:szCs w:val="21"/>
              </w:rPr>
              <w:t xml:space="preserve">, </w:t>
            </w:r>
            <w:r>
              <w:rPr>
                <w:bCs/>
                <w:kern w:val="0"/>
                <w:szCs w:val="21"/>
              </w:rPr>
              <w:t>International Journal of Production Economics, 20</w:t>
            </w:r>
            <w:r>
              <w:rPr>
                <w:rFonts w:hint="eastAsia"/>
                <w:bCs/>
                <w:kern w:val="0"/>
                <w:szCs w:val="21"/>
              </w:rPr>
              <w:t>16</w:t>
            </w:r>
            <w:r>
              <w:rPr>
                <w:bCs/>
                <w:kern w:val="0"/>
                <w:szCs w:val="21"/>
              </w:rPr>
              <w:t>.</w:t>
            </w:r>
          </w:p>
          <w:p w14:paraId="5DB82F2B">
            <w:pPr>
              <w:numPr>
                <w:ilvl w:val="0"/>
                <w:numId w:val="1"/>
              </w:numPr>
              <w:spacing w:line="276" w:lineRule="auto"/>
              <w:rPr>
                <w:bCs/>
                <w:kern w:val="0"/>
                <w:szCs w:val="21"/>
              </w:rPr>
            </w:pPr>
            <w:r>
              <w:rPr>
                <w:bCs/>
                <w:kern w:val="0"/>
                <w:szCs w:val="21"/>
              </w:rPr>
              <w:t>蔡建湖, 张玉洁, 周青, 宣丽园, 胡晓青. 疫苗制造企业投入决策模型与供应链优化</w:t>
            </w:r>
            <w:r>
              <w:rPr>
                <w:rFonts w:hint="eastAsia"/>
                <w:bCs/>
                <w:kern w:val="0"/>
                <w:szCs w:val="21"/>
              </w:rPr>
              <w:t xml:space="preserve">, </w:t>
            </w:r>
            <w:r>
              <w:rPr>
                <w:bCs/>
                <w:kern w:val="0"/>
                <w:szCs w:val="21"/>
              </w:rPr>
              <w:t>管理科学学报, 2023.</w:t>
            </w:r>
          </w:p>
          <w:p w14:paraId="5A9C0DA3">
            <w:pPr>
              <w:numPr>
                <w:ilvl w:val="0"/>
                <w:numId w:val="1"/>
              </w:numPr>
              <w:spacing w:line="276" w:lineRule="auto"/>
              <w:rPr>
                <w:szCs w:val="21"/>
              </w:rPr>
            </w:pPr>
            <w:r>
              <w:rPr>
                <w:rFonts w:hint="eastAsia"/>
                <w:szCs w:val="21"/>
              </w:rPr>
              <w:t>蔡建湖,</w:t>
            </w:r>
            <w:r>
              <w:rPr>
                <w:szCs w:val="21"/>
              </w:rPr>
              <w:t xml:space="preserve"> </w:t>
            </w:r>
            <w:r>
              <w:rPr>
                <w:rFonts w:hint="eastAsia"/>
                <w:szCs w:val="21"/>
              </w:rPr>
              <w:t>蒋乐,</w:t>
            </w:r>
            <w:r>
              <w:rPr>
                <w:szCs w:val="21"/>
              </w:rPr>
              <w:t xml:space="preserve"> </w:t>
            </w:r>
            <w:r>
              <w:rPr>
                <w:rFonts w:hint="eastAsia"/>
                <w:szCs w:val="21"/>
              </w:rPr>
              <w:t>杨梦园,</w:t>
            </w:r>
            <w:r>
              <w:rPr>
                <w:szCs w:val="21"/>
              </w:rPr>
              <w:t xml:space="preserve"> </w:t>
            </w:r>
            <w:r>
              <w:rPr>
                <w:rFonts w:hint="eastAsia"/>
                <w:szCs w:val="21"/>
              </w:rPr>
              <w:t>马香媛.</w:t>
            </w:r>
            <w:r>
              <w:rPr>
                <w:szCs w:val="21"/>
              </w:rPr>
              <w:t xml:space="preserve"> </w:t>
            </w:r>
            <w:r>
              <w:rPr>
                <w:rFonts w:hint="eastAsia"/>
                <w:szCs w:val="21"/>
              </w:rPr>
              <w:t>不对称信息下考虑风险的绿色供应链决策研究</w:t>
            </w:r>
            <w:r>
              <w:rPr>
                <w:szCs w:val="21"/>
              </w:rPr>
              <w:t xml:space="preserve">, </w:t>
            </w:r>
            <w:r>
              <w:rPr>
                <w:rFonts w:hint="eastAsia"/>
                <w:szCs w:val="21"/>
              </w:rPr>
              <w:t>系统工程理论与实践</w:t>
            </w:r>
            <w:r>
              <w:rPr>
                <w:szCs w:val="21"/>
              </w:rPr>
              <w:t>, 2024.</w:t>
            </w:r>
          </w:p>
        </w:tc>
      </w:tr>
      <w:tr w14:paraId="54E64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14:paraId="0F903040">
            <w:pPr>
              <w:spacing w:line="440" w:lineRule="exact"/>
              <w:jc w:val="center"/>
              <w:rPr>
                <w:rFonts w:eastAsia="仿宋_GB2312"/>
                <w:bCs/>
                <w:sz w:val="28"/>
                <w:szCs w:val="24"/>
              </w:rPr>
            </w:pPr>
            <w:r>
              <w:rPr>
                <w:rFonts w:eastAsia="仿宋_GB2312"/>
                <w:bCs/>
                <w:sz w:val="28"/>
                <w:szCs w:val="24"/>
              </w:rPr>
              <w:t>主要完成人</w:t>
            </w:r>
          </w:p>
        </w:tc>
        <w:tc>
          <w:tcPr>
            <w:tcW w:w="6237" w:type="dxa"/>
            <w:tcBorders>
              <w:left w:val="single" w:color="auto" w:sz="4" w:space="0"/>
            </w:tcBorders>
            <w:vAlign w:val="center"/>
          </w:tcPr>
          <w:p w14:paraId="2997B974">
            <w:pPr>
              <w:spacing w:line="276" w:lineRule="auto"/>
              <w:rPr>
                <w:rFonts w:ascii="仿宋" w:hAnsi="仿宋" w:eastAsia="仿宋" w:cs="___WRD_EMBED_SUB_45"/>
                <w:bCs/>
                <w:sz w:val="24"/>
                <w:szCs w:val="24"/>
              </w:rPr>
            </w:pPr>
            <w:r>
              <w:rPr>
                <w:rFonts w:hint="eastAsia" w:ascii="仿宋" w:hAnsi="仿宋" w:eastAsia="仿宋" w:cs="微软雅黑"/>
                <w:bCs/>
                <w:sz w:val="24"/>
                <w:szCs w:val="24"/>
              </w:rPr>
              <w:t>蔡</w:t>
            </w:r>
            <w:r>
              <w:rPr>
                <w:rFonts w:hint="eastAsia" w:ascii="仿宋" w:hAnsi="仿宋" w:eastAsia="仿宋" w:cs="___WRD_EMBED_SUB_45"/>
                <w:bCs/>
                <w:sz w:val="24"/>
                <w:szCs w:val="24"/>
              </w:rPr>
              <w:t>建</w:t>
            </w:r>
            <w:r>
              <w:rPr>
                <w:rFonts w:hint="eastAsia" w:ascii="仿宋" w:hAnsi="仿宋" w:eastAsia="仿宋" w:cs="微软雅黑"/>
                <w:bCs/>
                <w:sz w:val="24"/>
                <w:szCs w:val="24"/>
              </w:rPr>
              <w:t>湖</w:t>
            </w:r>
            <w:r>
              <w:rPr>
                <w:rFonts w:ascii="仿宋" w:hAnsi="仿宋" w:eastAsia="仿宋" w:cs="___WRD_EMBED_SUB_45"/>
                <w:bCs/>
                <w:sz w:val="24"/>
                <w:szCs w:val="24"/>
              </w:rPr>
              <w:t>，排名1，</w:t>
            </w:r>
            <w:r>
              <w:rPr>
                <w:rFonts w:hint="eastAsia" w:ascii="仿宋" w:hAnsi="仿宋" w:eastAsia="仿宋" w:cs="___WRD_EMBED_SUB_45"/>
                <w:bCs/>
                <w:sz w:val="24"/>
                <w:szCs w:val="24"/>
              </w:rPr>
              <w:t>教授</w:t>
            </w:r>
            <w:r>
              <w:rPr>
                <w:rFonts w:ascii="仿宋" w:hAnsi="仿宋" w:eastAsia="仿宋" w:cs="___WRD_EMBED_SUB_45"/>
                <w:bCs/>
                <w:sz w:val="24"/>
                <w:szCs w:val="24"/>
              </w:rPr>
              <w:t>，</w:t>
            </w:r>
            <w:r>
              <w:rPr>
                <w:rFonts w:hint="eastAsia" w:ascii="仿宋" w:hAnsi="仿宋" w:eastAsia="仿宋" w:cs="微软雅黑"/>
                <w:bCs/>
                <w:sz w:val="24"/>
                <w:szCs w:val="24"/>
              </w:rPr>
              <w:t>杭州</w:t>
            </w:r>
            <w:r>
              <w:rPr>
                <w:rFonts w:hint="eastAsia" w:ascii="仿宋" w:hAnsi="仿宋" w:eastAsia="仿宋" w:cs="___WRD_EMBED_SUB_45"/>
                <w:bCs/>
                <w:sz w:val="24"/>
                <w:szCs w:val="24"/>
              </w:rPr>
              <w:t>电子科技大学</w:t>
            </w:r>
            <w:r>
              <w:rPr>
                <w:rFonts w:ascii="仿宋" w:hAnsi="仿宋" w:eastAsia="仿宋" w:cs="___WRD_EMBED_SUB_45"/>
                <w:bCs/>
                <w:sz w:val="24"/>
                <w:szCs w:val="24"/>
              </w:rPr>
              <w:t>；</w:t>
            </w:r>
          </w:p>
          <w:p w14:paraId="098F56B7">
            <w:pPr>
              <w:spacing w:line="276" w:lineRule="auto"/>
              <w:rPr>
                <w:rFonts w:ascii="仿宋" w:hAnsi="仿宋" w:eastAsia="仿宋"/>
                <w:bCs/>
                <w:sz w:val="24"/>
                <w:szCs w:val="24"/>
              </w:rPr>
            </w:pPr>
            <w:r>
              <w:rPr>
                <w:rFonts w:hint="eastAsia" w:ascii="仿宋" w:hAnsi="仿宋" w:eastAsia="仿宋"/>
                <w:bCs/>
                <w:sz w:val="24"/>
                <w:szCs w:val="24"/>
              </w:rPr>
              <w:t>寿涌毅，排名2，教授，浙江大学；</w:t>
            </w:r>
          </w:p>
          <w:p w14:paraId="22EA72C6">
            <w:pPr>
              <w:spacing w:line="276" w:lineRule="auto"/>
              <w:rPr>
                <w:rFonts w:ascii="仿宋" w:hAnsi="仿宋" w:eastAsia="仿宋"/>
                <w:bCs/>
                <w:sz w:val="24"/>
                <w:szCs w:val="24"/>
              </w:rPr>
            </w:pPr>
            <w:r>
              <w:rPr>
                <w:rFonts w:hint="eastAsia" w:ascii="仿宋" w:hAnsi="仿宋" w:eastAsia="仿宋" w:cs="微软雅黑"/>
                <w:bCs/>
                <w:sz w:val="24"/>
                <w:szCs w:val="24"/>
              </w:rPr>
              <w:t>卞</w:t>
            </w:r>
            <w:r>
              <w:rPr>
                <w:rFonts w:hint="eastAsia" w:ascii="仿宋" w:hAnsi="仿宋" w:eastAsia="仿宋" w:cs="___WRD_EMBED_SUB_45"/>
                <w:bCs/>
                <w:sz w:val="24"/>
                <w:szCs w:val="24"/>
              </w:rPr>
              <w:t>文良</w:t>
            </w:r>
            <w:r>
              <w:rPr>
                <w:rFonts w:ascii="仿宋" w:hAnsi="仿宋" w:eastAsia="仿宋" w:cs="___WRD_EMBED_SUB_45"/>
                <w:bCs/>
                <w:sz w:val="24"/>
                <w:szCs w:val="24"/>
              </w:rPr>
              <w:t>，排名</w:t>
            </w:r>
            <w:r>
              <w:rPr>
                <w:rFonts w:hint="eastAsia" w:ascii="仿宋" w:hAnsi="仿宋" w:eastAsia="仿宋" w:cs="___WRD_EMBED_SUB_45"/>
                <w:bCs/>
                <w:sz w:val="24"/>
                <w:szCs w:val="24"/>
              </w:rPr>
              <w:t>3</w:t>
            </w:r>
            <w:r>
              <w:rPr>
                <w:rFonts w:ascii="仿宋" w:hAnsi="仿宋" w:eastAsia="仿宋" w:cs="___WRD_EMBED_SUB_45"/>
                <w:bCs/>
                <w:sz w:val="24"/>
                <w:szCs w:val="24"/>
              </w:rPr>
              <w:t>，</w:t>
            </w:r>
            <w:r>
              <w:rPr>
                <w:rFonts w:hint="eastAsia" w:ascii="仿宋" w:hAnsi="仿宋" w:eastAsia="仿宋" w:cs="___WRD_EMBED_SUB_45"/>
                <w:bCs/>
                <w:sz w:val="24"/>
                <w:szCs w:val="24"/>
              </w:rPr>
              <w:t>副教授</w:t>
            </w:r>
            <w:r>
              <w:rPr>
                <w:rFonts w:ascii="仿宋" w:hAnsi="仿宋" w:eastAsia="仿宋" w:cs="___WRD_EMBED_SUB_45"/>
                <w:bCs/>
                <w:sz w:val="24"/>
                <w:szCs w:val="24"/>
              </w:rPr>
              <w:t>，</w:t>
            </w:r>
            <w:r>
              <w:rPr>
                <w:rFonts w:hint="eastAsia" w:ascii="仿宋" w:hAnsi="仿宋" w:eastAsia="仿宋" w:cs="微软雅黑"/>
                <w:bCs/>
                <w:sz w:val="24"/>
                <w:szCs w:val="24"/>
              </w:rPr>
              <w:t>北京</w:t>
            </w:r>
            <w:r>
              <w:rPr>
                <w:rFonts w:hint="eastAsia" w:ascii="仿宋" w:hAnsi="仿宋" w:eastAsia="仿宋" w:cs="___WRD_EMBED_SUB_45"/>
                <w:bCs/>
                <w:sz w:val="24"/>
                <w:szCs w:val="24"/>
              </w:rPr>
              <w:t>交通大学</w:t>
            </w:r>
            <w:r>
              <w:rPr>
                <w:rFonts w:ascii="仿宋" w:hAnsi="仿宋" w:eastAsia="仿宋"/>
                <w:bCs/>
                <w:sz w:val="24"/>
                <w:szCs w:val="24"/>
              </w:rPr>
              <w:t>；</w:t>
            </w:r>
          </w:p>
          <w:p w14:paraId="5E0FA11E">
            <w:pPr>
              <w:spacing w:line="276" w:lineRule="auto"/>
              <w:rPr>
                <w:rFonts w:ascii="仿宋" w:hAnsi="仿宋" w:eastAsia="仿宋"/>
                <w:bCs/>
                <w:sz w:val="24"/>
                <w:szCs w:val="24"/>
              </w:rPr>
            </w:pPr>
            <w:r>
              <w:rPr>
                <w:rFonts w:hint="eastAsia" w:ascii="仿宋" w:hAnsi="仿宋" w:eastAsia="仿宋"/>
                <w:bCs/>
                <w:sz w:val="24"/>
                <w:szCs w:val="24"/>
              </w:rPr>
              <w:t>苏红波，排名4，教授级高级工程师，杭州品享科技有限公司；</w:t>
            </w:r>
          </w:p>
          <w:p w14:paraId="7DB3B031">
            <w:pPr>
              <w:spacing w:line="276" w:lineRule="auto"/>
              <w:rPr>
                <w:rFonts w:ascii="仿宋" w:hAnsi="仿宋" w:eastAsia="仿宋"/>
                <w:bCs/>
                <w:sz w:val="24"/>
                <w:szCs w:val="24"/>
              </w:rPr>
            </w:pPr>
            <w:r>
              <w:rPr>
                <w:rFonts w:hint="eastAsia" w:ascii="仿宋" w:hAnsi="仿宋" w:eastAsia="仿宋"/>
                <w:bCs/>
                <w:sz w:val="24"/>
                <w:szCs w:val="24"/>
              </w:rPr>
              <w:t>黄涛</w:t>
            </w:r>
            <w:bookmarkStart w:id="3" w:name="OLE_LINK1"/>
            <w:r>
              <w:rPr>
                <w:rFonts w:hint="eastAsia" w:ascii="仿宋" w:hAnsi="仿宋" w:eastAsia="仿宋"/>
                <w:bCs/>
                <w:sz w:val="24"/>
                <w:szCs w:val="24"/>
              </w:rPr>
              <w:t>，排名5，技术总监，杭州涛谱科技有限公司；</w:t>
            </w:r>
            <w:bookmarkEnd w:id="3"/>
          </w:p>
          <w:p w14:paraId="617B45D4">
            <w:pPr>
              <w:spacing w:line="276" w:lineRule="auto"/>
              <w:rPr>
                <w:rFonts w:ascii="仿宋" w:hAnsi="仿宋" w:eastAsia="仿宋"/>
                <w:bCs/>
                <w:sz w:val="24"/>
                <w:szCs w:val="24"/>
              </w:rPr>
            </w:pPr>
            <w:r>
              <w:rPr>
                <w:rFonts w:hint="eastAsia" w:ascii="仿宋" w:hAnsi="仿宋" w:eastAsia="仿宋"/>
                <w:bCs/>
                <w:sz w:val="24"/>
                <w:szCs w:val="24"/>
              </w:rPr>
              <w:t>胡晓青，排名</w:t>
            </w:r>
            <w:r>
              <w:rPr>
                <w:rFonts w:ascii="仿宋" w:hAnsi="仿宋" w:eastAsia="仿宋"/>
                <w:bCs/>
                <w:sz w:val="24"/>
                <w:szCs w:val="24"/>
              </w:rPr>
              <w:t>6</w:t>
            </w:r>
            <w:r>
              <w:rPr>
                <w:rFonts w:hint="eastAsia" w:ascii="仿宋" w:hAnsi="仿宋" w:eastAsia="仿宋"/>
                <w:bCs/>
                <w:sz w:val="24"/>
                <w:szCs w:val="24"/>
              </w:rPr>
              <w:t>，副教授，杭州电子科技大学；</w:t>
            </w:r>
          </w:p>
          <w:p w14:paraId="545B26D4">
            <w:pPr>
              <w:spacing w:line="276" w:lineRule="auto"/>
              <w:rPr>
                <w:rFonts w:ascii="仿宋" w:hAnsi="仿宋" w:eastAsia="仿宋"/>
                <w:bCs/>
                <w:sz w:val="24"/>
                <w:szCs w:val="24"/>
              </w:rPr>
            </w:pPr>
            <w:r>
              <w:rPr>
                <w:rFonts w:hint="eastAsia" w:ascii="仿宋" w:hAnsi="仿宋" w:eastAsia="仿宋"/>
                <w:bCs/>
                <w:sz w:val="24"/>
                <w:szCs w:val="24"/>
              </w:rPr>
              <w:t>贾利爽，排名</w:t>
            </w:r>
            <w:r>
              <w:rPr>
                <w:rFonts w:ascii="仿宋" w:hAnsi="仿宋" w:eastAsia="仿宋"/>
                <w:bCs/>
                <w:sz w:val="24"/>
                <w:szCs w:val="24"/>
              </w:rPr>
              <w:t>7</w:t>
            </w:r>
            <w:r>
              <w:rPr>
                <w:rFonts w:hint="eastAsia" w:ascii="仿宋" w:hAnsi="仿宋" w:eastAsia="仿宋"/>
                <w:bCs/>
                <w:sz w:val="24"/>
                <w:szCs w:val="24"/>
              </w:rPr>
              <w:t>，特聘副教授，杭州电子科技大学；</w:t>
            </w:r>
          </w:p>
          <w:p w14:paraId="78367A04">
            <w:pPr>
              <w:spacing w:line="276" w:lineRule="auto"/>
              <w:rPr>
                <w:rFonts w:ascii="仿宋" w:hAnsi="仿宋" w:eastAsia="仿宋" w:cs="___WRD_EMBED_SUB_45"/>
                <w:bCs/>
                <w:sz w:val="24"/>
                <w:szCs w:val="24"/>
              </w:rPr>
            </w:pPr>
            <w:r>
              <w:rPr>
                <w:rFonts w:hint="eastAsia" w:ascii="仿宋" w:hAnsi="仿宋" w:eastAsia="仿宋" w:cs="___WRD_EMBED_SUB_45"/>
                <w:bCs/>
                <w:sz w:val="24"/>
                <w:szCs w:val="24"/>
              </w:rPr>
              <w:t>马香媛，排名8，教授，杭州电子科技大学；</w:t>
            </w:r>
          </w:p>
          <w:p w14:paraId="1741DDCA">
            <w:pPr>
              <w:spacing w:line="276" w:lineRule="auto"/>
              <w:rPr>
                <w:rFonts w:ascii="仿宋" w:hAnsi="仿宋" w:eastAsia="仿宋" w:cs="___WRD_EMBED_SUB_45"/>
                <w:bCs/>
                <w:sz w:val="24"/>
                <w:szCs w:val="24"/>
              </w:rPr>
            </w:pPr>
            <w:r>
              <w:rPr>
                <w:rFonts w:hint="eastAsia" w:ascii="仿宋" w:hAnsi="仿宋" w:eastAsia="仿宋" w:cs="___WRD_EMBED_SUB_45"/>
                <w:bCs/>
                <w:sz w:val="24"/>
                <w:szCs w:val="24"/>
              </w:rPr>
              <w:t>邓丽丽，排名9，副教授，浙江工业大学；</w:t>
            </w:r>
          </w:p>
        </w:tc>
      </w:tr>
      <w:tr w14:paraId="10393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2269" w:type="dxa"/>
            <w:tcBorders>
              <w:right w:val="single" w:color="auto" w:sz="4" w:space="0"/>
            </w:tcBorders>
            <w:vAlign w:val="center"/>
          </w:tcPr>
          <w:p w14:paraId="2195F9CB">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color="auto" w:sz="4" w:space="0"/>
            </w:tcBorders>
            <w:vAlign w:val="center"/>
          </w:tcPr>
          <w:p w14:paraId="119CA1C9">
            <w:pPr>
              <w:spacing w:line="276" w:lineRule="auto"/>
              <w:rPr>
                <w:rFonts w:ascii="仿宋" w:hAnsi="仿宋" w:eastAsia="仿宋" w:cs="___WRD_EMBED_SUB_45"/>
                <w:bCs/>
                <w:sz w:val="24"/>
                <w:szCs w:val="24"/>
              </w:rPr>
            </w:pPr>
            <w:r>
              <w:rPr>
                <w:rFonts w:ascii="仿宋" w:hAnsi="仿宋" w:eastAsia="仿宋" w:cs="___WRD_EMBED_SUB_45"/>
                <w:bCs/>
                <w:sz w:val="24"/>
                <w:szCs w:val="24"/>
              </w:rPr>
              <w:t>1.</w:t>
            </w:r>
            <w:r>
              <w:rPr>
                <w:rFonts w:hint="eastAsia" w:ascii="仿宋" w:hAnsi="仿宋" w:eastAsia="仿宋" w:cs="___WRD_EMBED_SUB_45"/>
                <w:bCs/>
                <w:sz w:val="24"/>
                <w:szCs w:val="24"/>
              </w:rPr>
              <w:t xml:space="preserve"> 杭州电子科技大学</w:t>
            </w:r>
          </w:p>
          <w:p w14:paraId="40F768F9">
            <w:pPr>
              <w:spacing w:line="276" w:lineRule="auto"/>
              <w:rPr>
                <w:rFonts w:ascii="仿宋" w:hAnsi="仿宋" w:eastAsia="仿宋" w:cs="___WRD_EMBED_SUB_45"/>
                <w:bCs/>
                <w:sz w:val="24"/>
                <w:szCs w:val="24"/>
              </w:rPr>
            </w:pPr>
            <w:r>
              <w:rPr>
                <w:rFonts w:ascii="仿宋" w:hAnsi="仿宋" w:eastAsia="仿宋" w:cs="___WRD_EMBED_SUB_45"/>
                <w:bCs/>
                <w:sz w:val="24"/>
                <w:szCs w:val="24"/>
              </w:rPr>
              <w:t>2.</w:t>
            </w:r>
            <w:r>
              <w:rPr>
                <w:rFonts w:hint="eastAsia" w:ascii="仿宋" w:hAnsi="仿宋" w:eastAsia="仿宋" w:cs="___WRD_EMBED_SUB_45"/>
                <w:bCs/>
                <w:sz w:val="24"/>
                <w:szCs w:val="24"/>
              </w:rPr>
              <w:t xml:space="preserve"> 浙江大学</w:t>
            </w:r>
          </w:p>
          <w:p w14:paraId="7BCDF479">
            <w:pPr>
              <w:spacing w:line="276" w:lineRule="auto"/>
              <w:rPr>
                <w:rFonts w:ascii="仿宋" w:hAnsi="仿宋" w:eastAsia="仿宋" w:cs="___WRD_EMBED_SUB_45"/>
                <w:bCs/>
                <w:sz w:val="24"/>
                <w:szCs w:val="24"/>
              </w:rPr>
            </w:pPr>
            <w:r>
              <w:rPr>
                <w:rFonts w:hint="eastAsia" w:ascii="仿宋" w:hAnsi="仿宋" w:eastAsia="仿宋" w:cs="___WRD_EMBED_SUB_45"/>
                <w:bCs/>
                <w:sz w:val="24"/>
                <w:szCs w:val="24"/>
              </w:rPr>
              <w:t>3. 北京交通大学</w:t>
            </w:r>
          </w:p>
          <w:p w14:paraId="44C847F6">
            <w:pPr>
              <w:spacing w:line="276" w:lineRule="auto"/>
              <w:rPr>
                <w:rFonts w:ascii="仿宋" w:hAnsi="仿宋" w:eastAsia="仿宋" w:cs="___WRD_EMBED_SUB_45"/>
                <w:bCs/>
                <w:sz w:val="24"/>
                <w:szCs w:val="24"/>
              </w:rPr>
            </w:pPr>
            <w:r>
              <w:rPr>
                <w:rFonts w:hint="eastAsia" w:ascii="仿宋" w:hAnsi="仿宋" w:eastAsia="仿宋" w:cs="___WRD_EMBED_SUB_45"/>
                <w:bCs/>
                <w:sz w:val="24"/>
                <w:szCs w:val="24"/>
              </w:rPr>
              <w:t>4</w:t>
            </w:r>
            <w:r>
              <w:rPr>
                <w:rFonts w:ascii="仿宋" w:hAnsi="仿宋" w:eastAsia="仿宋" w:cs="___WRD_EMBED_SUB_45"/>
                <w:bCs/>
                <w:sz w:val="24"/>
                <w:szCs w:val="24"/>
              </w:rPr>
              <w:t>.</w:t>
            </w:r>
            <w:r>
              <w:rPr>
                <w:rFonts w:hint="eastAsia" w:ascii="仿宋" w:hAnsi="仿宋" w:eastAsia="仿宋" w:cs="___WRD_EMBED_SUB_45"/>
                <w:bCs/>
                <w:sz w:val="24"/>
                <w:szCs w:val="24"/>
              </w:rPr>
              <w:t xml:space="preserve"> 杭州品享科技有限公司</w:t>
            </w:r>
          </w:p>
          <w:p w14:paraId="66C5D126">
            <w:pPr>
              <w:spacing w:line="276" w:lineRule="auto"/>
              <w:rPr>
                <w:rFonts w:ascii="仿宋" w:hAnsi="仿宋" w:eastAsia="仿宋" w:cs="___WRD_EMBED_SUB_45"/>
                <w:bCs/>
                <w:sz w:val="24"/>
                <w:szCs w:val="24"/>
              </w:rPr>
            </w:pPr>
            <w:r>
              <w:rPr>
                <w:rFonts w:hint="eastAsia" w:ascii="仿宋" w:hAnsi="仿宋" w:eastAsia="仿宋" w:cs="___WRD_EMBED_SUB_45"/>
                <w:bCs/>
                <w:sz w:val="24"/>
                <w:szCs w:val="24"/>
              </w:rPr>
              <w:t>5</w:t>
            </w:r>
            <w:r>
              <w:rPr>
                <w:rFonts w:ascii="仿宋" w:hAnsi="仿宋" w:eastAsia="仿宋" w:cs="___WRD_EMBED_SUB_45"/>
                <w:bCs/>
                <w:sz w:val="24"/>
                <w:szCs w:val="24"/>
              </w:rPr>
              <w:t xml:space="preserve">. </w:t>
            </w:r>
            <w:r>
              <w:rPr>
                <w:rFonts w:hint="eastAsia" w:ascii="仿宋" w:hAnsi="仿宋" w:eastAsia="仿宋" w:cs="___WRD_EMBED_SUB_45"/>
                <w:bCs/>
                <w:sz w:val="24"/>
                <w:szCs w:val="24"/>
              </w:rPr>
              <w:t>杭州涛谱科技有限公司</w:t>
            </w:r>
          </w:p>
          <w:p w14:paraId="2C248619">
            <w:pPr>
              <w:spacing w:line="276" w:lineRule="auto"/>
              <w:rPr>
                <w:rFonts w:ascii="仿宋" w:hAnsi="仿宋" w:eastAsia="仿宋" w:cs="___WRD_EMBED_SUB_45"/>
                <w:bCs/>
                <w:sz w:val="24"/>
                <w:szCs w:val="24"/>
              </w:rPr>
            </w:pPr>
            <w:r>
              <w:rPr>
                <w:rFonts w:hint="eastAsia" w:ascii="仿宋" w:hAnsi="仿宋" w:eastAsia="仿宋" w:cs="___WRD_EMBED_SUB_45"/>
                <w:bCs/>
                <w:sz w:val="24"/>
                <w:szCs w:val="24"/>
              </w:rPr>
              <w:t>6. 浙江工业大学</w:t>
            </w:r>
          </w:p>
        </w:tc>
      </w:tr>
      <w:tr w14:paraId="4DB46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0" w:hRule="atLeast"/>
        </w:trPr>
        <w:tc>
          <w:tcPr>
            <w:tcW w:w="2269" w:type="dxa"/>
            <w:vAlign w:val="center"/>
          </w:tcPr>
          <w:p w14:paraId="7E1B17A8">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14:paraId="7067805D">
            <w:pPr>
              <w:contextualSpacing/>
              <w:jc w:val="center"/>
              <w:rPr>
                <w:rStyle w:val="36"/>
                <w:b w:val="0"/>
                <w:color w:val="auto"/>
              </w:rPr>
            </w:pPr>
            <w:r>
              <w:rPr>
                <w:rStyle w:val="36"/>
                <w:rFonts w:hint="eastAsia"/>
                <w:b w:val="0"/>
                <w:color w:val="auto"/>
              </w:rPr>
              <w:t>浙江省教育厅</w:t>
            </w:r>
          </w:p>
        </w:tc>
      </w:tr>
      <w:tr w14:paraId="0F116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85" w:hRule="atLeast"/>
        </w:trPr>
        <w:tc>
          <w:tcPr>
            <w:tcW w:w="2269" w:type="dxa"/>
            <w:vAlign w:val="center"/>
          </w:tcPr>
          <w:p w14:paraId="1C9B2148">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14:paraId="021FEA40">
            <w:pPr>
              <w:pStyle w:val="6"/>
              <w:spacing w:line="390" w:lineRule="exact"/>
              <w:ind w:firstLine="488"/>
              <w:rPr>
                <w:rFonts w:ascii="仿宋" w:hAnsi="仿宋" w:eastAsia="仿宋"/>
                <w:bCs/>
                <w:spacing w:val="2"/>
              </w:rPr>
            </w:pPr>
            <w:r>
              <w:rPr>
                <w:rFonts w:hint="eastAsia" w:ascii="仿宋" w:hAnsi="仿宋" w:eastAsia="仿宋"/>
                <w:bCs/>
                <w:spacing w:val="2"/>
              </w:rPr>
              <w:t>该成果聚焦“供应链数字化与低碳化‘双转型’”这一主题，围绕优化模型构建、信息共享与低碳转型协同机制设计、信息系统开发与供应链管理解决方案设计等逻辑相关的主体内容开展了系统研究。构建了供应链低碳转型过程中的协同优化体系，揭示了低碳转型对供应链运营管理的影响机理；设计了供应链信息共享策略与低碳转型协同机制，有效提升了信息不对称环境下供应链的低碳转型效率；开发了面向典型行业供应链核心企业的信息系统，并提出了数字技术赋能供应链低碳转型的协同优化方案和系统性解决方案，赋能核心企业带动产业链供应链数字化与低碳化转型。</w:t>
            </w:r>
          </w:p>
          <w:p w14:paraId="30F80764">
            <w:pPr>
              <w:pStyle w:val="6"/>
              <w:spacing w:line="390" w:lineRule="exact"/>
              <w:ind w:firstLine="488"/>
              <w:rPr>
                <w:rFonts w:ascii="仿宋" w:hAnsi="仿宋" w:eastAsia="仿宋"/>
                <w:bCs/>
                <w:spacing w:val="2"/>
              </w:rPr>
            </w:pPr>
            <w:r>
              <w:rPr>
                <w:rFonts w:hint="eastAsia" w:ascii="仿宋" w:hAnsi="仿宋" w:eastAsia="仿宋"/>
                <w:bCs/>
                <w:spacing w:val="2"/>
              </w:rPr>
              <w:t>该成果形成的信息系统设计方案及其与管理决策协同优化解决方案，成功应用于杭州品享科技有限公司、贵州恒铝科技发展有限公司等企业，有力支撑了我国纸制品、建筑等典型行业数字化与低碳化“双转型”，取得了显著的经济效益与环境效益。</w:t>
            </w:r>
          </w:p>
          <w:p w14:paraId="63895D55">
            <w:pPr>
              <w:pStyle w:val="6"/>
              <w:spacing w:line="390" w:lineRule="exact"/>
              <w:ind w:firstLine="488"/>
              <w:rPr>
                <w:rFonts w:ascii="仿宋" w:hAnsi="仿宋" w:eastAsia="仿宋"/>
                <w:bCs/>
                <w:spacing w:val="2"/>
              </w:rPr>
            </w:pPr>
          </w:p>
          <w:p w14:paraId="06589323">
            <w:pPr>
              <w:pStyle w:val="6"/>
              <w:spacing w:line="390" w:lineRule="exact"/>
              <w:ind w:firstLine="488"/>
              <w:rPr>
                <w:rStyle w:val="36"/>
                <w:b w:val="0"/>
                <w:color w:val="auto"/>
                <w:spacing w:val="2"/>
                <w:sz w:val="21"/>
                <w:szCs w:val="20"/>
              </w:rPr>
            </w:pPr>
            <w:r>
              <w:rPr>
                <w:rFonts w:ascii="仿宋" w:hAnsi="仿宋" w:eastAsia="仿宋"/>
                <w:bCs/>
                <w:color w:val="000000" w:themeColor="text1"/>
                <w:spacing w:val="2"/>
                <w14:textFill>
                  <w14:solidFill>
                    <w14:schemeClr w14:val="tx1"/>
                  </w14:solidFill>
                </w14:textFill>
              </w:rPr>
              <w:t>提名该成果为省科学技术进步奖</w:t>
            </w:r>
            <w:r>
              <w:rPr>
                <w:rFonts w:ascii="仿宋" w:hAnsi="仿宋" w:eastAsia="仿宋"/>
                <w:bCs/>
                <w:color w:val="000000" w:themeColor="text1"/>
                <w:spacing w:val="2"/>
                <w:u w:val="single"/>
                <w14:textFill>
                  <w14:solidFill>
                    <w14:schemeClr w14:val="tx1"/>
                  </w14:solidFill>
                </w14:textFill>
              </w:rPr>
              <w:t xml:space="preserve"> </w:t>
            </w:r>
            <w:r>
              <w:rPr>
                <w:rFonts w:hint="eastAsia" w:ascii="仿宋" w:hAnsi="仿宋" w:eastAsia="仿宋"/>
                <w:bCs/>
                <w:color w:val="000000" w:themeColor="text1"/>
                <w:spacing w:val="2"/>
                <w:u w:val="single"/>
                <w14:textFill>
                  <w14:solidFill>
                    <w14:schemeClr w14:val="tx1"/>
                  </w14:solidFill>
                </w14:textFill>
              </w:rPr>
              <w:t>二</w:t>
            </w:r>
            <w:r>
              <w:rPr>
                <w:rFonts w:ascii="仿宋" w:hAnsi="仿宋" w:eastAsia="仿宋"/>
                <w:bCs/>
                <w:color w:val="000000" w:themeColor="text1"/>
                <w:spacing w:val="2"/>
                <w:u w:val="single"/>
                <w14:textFill>
                  <w14:solidFill>
                    <w14:schemeClr w14:val="tx1"/>
                  </w14:solidFill>
                </w14:textFill>
              </w:rPr>
              <w:t xml:space="preserve"> </w:t>
            </w:r>
            <w:r>
              <w:rPr>
                <w:rFonts w:ascii="仿宋" w:hAnsi="仿宋" w:eastAsia="仿宋"/>
                <w:bCs/>
                <w:color w:val="000000" w:themeColor="text1"/>
                <w:spacing w:val="2"/>
                <w14:textFill>
                  <w14:solidFill>
                    <w14:schemeClr w14:val="tx1"/>
                  </w14:solidFill>
                </w14:textFill>
              </w:rPr>
              <w:t>等奖。</w:t>
            </w:r>
          </w:p>
        </w:tc>
      </w:tr>
    </w:tbl>
    <w:p w14:paraId="28A5B251">
      <w:pPr>
        <w:adjustRightInd w:val="0"/>
        <w:snapToGrid w:val="0"/>
        <w:rPr>
          <w:rFonts w:eastAsia="仿宋_GB2312"/>
          <w:sz w:val="15"/>
          <w:szCs w:val="15"/>
        </w:rPr>
      </w:pPr>
    </w:p>
    <w:sectPr>
      <w:headerReference r:id="rId5" w:type="first"/>
      <w:headerReference r:id="rId3" w:type="default"/>
      <w:footerReference r:id="rId6" w:type="default"/>
      <w:head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E298CC8-A1C9-4F6F-9436-F70A4AFD640B}"/>
  </w:font>
  <w:font w:name="Arial">
    <w:panose1 w:val="020B0604020202020204"/>
    <w:charset w:val="01"/>
    <w:family w:val="swiss"/>
    <w:pitch w:val="default"/>
    <w:sig w:usb0="E0002EFF" w:usb1="C000785B" w:usb2="00000009" w:usb3="00000000" w:csb0="400001FF" w:csb1="FFFF0000"/>
    <w:embedRegular r:id="rId2" w:fontKey="{E0DA8760-757A-400F-B01A-B689180E784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C9D88C5-8736-40CD-BD25-A6A1D1D545B3}"/>
  </w:font>
  <w:font w:name="Symbol">
    <w:panose1 w:val="05050102010706020507"/>
    <w:charset w:val="02"/>
    <w:family w:val="roman"/>
    <w:pitch w:val="default"/>
    <w:sig w:usb0="00000000" w:usb1="00000000" w:usb2="00000000" w:usb3="00000000" w:csb0="80000000" w:csb1="00000000"/>
    <w:embedRegular r:id="rId4" w:fontKey="{32B8E10A-BB88-44CA-8421-1DB65BAA28FC}"/>
  </w:font>
  <w:font w:name="Calibri">
    <w:panose1 w:val="020F0502020204030204"/>
    <w:charset w:val="00"/>
    <w:family w:val="swiss"/>
    <w:pitch w:val="default"/>
    <w:sig w:usb0="E4002EFF" w:usb1="C000247B" w:usb2="00000009" w:usb3="00000000" w:csb0="200001FF" w:csb1="00000000"/>
    <w:embedRegular r:id="rId5" w:fontKey="{4CD34919-3D63-4ADE-9B3C-053FAF8D67CD}"/>
  </w:font>
  <w:font w:name="Cambria">
    <w:panose1 w:val="02040503050406030204"/>
    <w:charset w:val="00"/>
    <w:family w:val="roman"/>
    <w:pitch w:val="default"/>
    <w:sig w:usb0="E00006FF" w:usb1="420024FF" w:usb2="02000000" w:usb3="00000000" w:csb0="2000019F" w:csb1="00000000"/>
    <w:embedRegular r:id="rId6" w:fontKey="{B66384FD-CF45-447C-979E-9E57193AE531}"/>
  </w:font>
  <w:font w:name="仿宋_GB2312">
    <w:panose1 w:val="02010609030101010101"/>
    <w:charset w:val="86"/>
    <w:family w:val="modern"/>
    <w:pitch w:val="default"/>
    <w:sig w:usb0="00000001" w:usb1="080E0000" w:usb2="00000000" w:usb3="00000000" w:csb0="00040000" w:csb1="00000000"/>
    <w:embedRegular r:id="rId7" w:fontKey="{B5C461C3-191D-4035-B022-B62A1B3F9344}"/>
  </w:font>
  <w:font w:name="方正仿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script"/>
    <w:pitch w:val="default"/>
    <w:sig w:usb0="A00002BF" w:usb1="184F6CFA" w:usb2="00000012" w:usb3="00000000" w:csb0="00040001" w:csb1="00000000"/>
    <w:embedRegular r:id="rId8" w:fontKey="{E1A4F20C-4E2A-4592-985F-2F4C1344190F}"/>
  </w:font>
  <w:font w:name="仿宋">
    <w:panose1 w:val="02010609060101010101"/>
    <w:charset w:val="86"/>
    <w:family w:val="modern"/>
    <w:pitch w:val="default"/>
    <w:sig w:usb0="800002BF" w:usb1="38CF7CFA" w:usb2="00000016" w:usb3="00000000" w:csb0="00040001" w:csb1="00000000"/>
    <w:embedRegular r:id="rId9" w:fontKey="{2236D76A-5581-4107-A8C5-8A292481EFB4}"/>
  </w:font>
  <w:font w:name="微软雅黑">
    <w:panose1 w:val="020B0503020204020204"/>
    <w:charset w:val="86"/>
    <w:family w:val="swiss"/>
    <w:pitch w:val="default"/>
    <w:sig w:usb0="80000287" w:usb1="2ACF3C50" w:usb2="00000016" w:usb3="00000000" w:csb0="0004001F" w:csb1="00000000"/>
    <w:embedRegular r:id="rId10" w:fontKey="{2528A558-C43B-4A04-8F17-41659010E913}"/>
  </w:font>
  <w:font w:name="___WRD_EMBED_SUB_45">
    <w:panose1 w:val="02010609030101010101"/>
    <w:charset w:val="86"/>
    <w:family w:val="modern"/>
    <w:pitch w:val="default"/>
    <w:sig w:usb0="00000001" w:usb1="080E0000" w:usb2="00000000" w:usb3="00000000" w:csb0="00040000" w:csb1="00000000"/>
    <w:embedRegular r:id="rId11" w:fontKey="{43BB25C8-CCC6-430E-90D8-5E3CADCFFA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6CE4D27F">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142</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BC2EF">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E49DE">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A1745">
    <w:pPr>
      <w:pStyle w:val="10"/>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004E20"/>
    <w:multiLevelType w:val="multilevel"/>
    <w:tmpl w:val="2F004E20"/>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3E68"/>
    <w:rsid w:val="000165DC"/>
    <w:rsid w:val="00027258"/>
    <w:rsid w:val="000274AE"/>
    <w:rsid w:val="00031E44"/>
    <w:rsid w:val="00033288"/>
    <w:rsid w:val="0003790D"/>
    <w:rsid w:val="0004004D"/>
    <w:rsid w:val="0004471B"/>
    <w:rsid w:val="00051BE3"/>
    <w:rsid w:val="00053F24"/>
    <w:rsid w:val="00064AF3"/>
    <w:rsid w:val="0006546D"/>
    <w:rsid w:val="00067E32"/>
    <w:rsid w:val="00083906"/>
    <w:rsid w:val="000847FC"/>
    <w:rsid w:val="000929AE"/>
    <w:rsid w:val="000A0FE4"/>
    <w:rsid w:val="000A372A"/>
    <w:rsid w:val="000B70B3"/>
    <w:rsid w:val="000C632A"/>
    <w:rsid w:val="000F1229"/>
    <w:rsid w:val="000F2CC3"/>
    <w:rsid w:val="000F6066"/>
    <w:rsid w:val="000F6517"/>
    <w:rsid w:val="000F6B39"/>
    <w:rsid w:val="000F7732"/>
    <w:rsid w:val="001039E9"/>
    <w:rsid w:val="00104F03"/>
    <w:rsid w:val="0010644A"/>
    <w:rsid w:val="00110859"/>
    <w:rsid w:val="0012430D"/>
    <w:rsid w:val="001435CC"/>
    <w:rsid w:val="00151F8A"/>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59C1"/>
    <w:rsid w:val="0021734C"/>
    <w:rsid w:val="00221EAD"/>
    <w:rsid w:val="002242B0"/>
    <w:rsid w:val="002247F4"/>
    <w:rsid w:val="00226B0D"/>
    <w:rsid w:val="00230FE9"/>
    <w:rsid w:val="0023223F"/>
    <w:rsid w:val="00244749"/>
    <w:rsid w:val="00247A49"/>
    <w:rsid w:val="00250DB2"/>
    <w:rsid w:val="00251808"/>
    <w:rsid w:val="002579D1"/>
    <w:rsid w:val="00262858"/>
    <w:rsid w:val="00265AD0"/>
    <w:rsid w:val="002705E3"/>
    <w:rsid w:val="002745F8"/>
    <w:rsid w:val="00283031"/>
    <w:rsid w:val="0029509E"/>
    <w:rsid w:val="00296134"/>
    <w:rsid w:val="002A2925"/>
    <w:rsid w:val="002A7955"/>
    <w:rsid w:val="002B3198"/>
    <w:rsid w:val="002C6803"/>
    <w:rsid w:val="002C6E65"/>
    <w:rsid w:val="002D1FA7"/>
    <w:rsid w:val="002D3BA3"/>
    <w:rsid w:val="002E42A8"/>
    <w:rsid w:val="002E43DB"/>
    <w:rsid w:val="002F056A"/>
    <w:rsid w:val="002F1911"/>
    <w:rsid w:val="002F74D2"/>
    <w:rsid w:val="0030543F"/>
    <w:rsid w:val="003063D6"/>
    <w:rsid w:val="00311F89"/>
    <w:rsid w:val="003125EF"/>
    <w:rsid w:val="00326352"/>
    <w:rsid w:val="00330554"/>
    <w:rsid w:val="00331B99"/>
    <w:rsid w:val="00331D97"/>
    <w:rsid w:val="00336678"/>
    <w:rsid w:val="00340314"/>
    <w:rsid w:val="00343065"/>
    <w:rsid w:val="00343DF4"/>
    <w:rsid w:val="00347614"/>
    <w:rsid w:val="00356B8A"/>
    <w:rsid w:val="00360771"/>
    <w:rsid w:val="00363C7E"/>
    <w:rsid w:val="003675D4"/>
    <w:rsid w:val="00370977"/>
    <w:rsid w:val="00377C1C"/>
    <w:rsid w:val="00381800"/>
    <w:rsid w:val="00382214"/>
    <w:rsid w:val="00382EDD"/>
    <w:rsid w:val="00386D85"/>
    <w:rsid w:val="003905F7"/>
    <w:rsid w:val="003A08CF"/>
    <w:rsid w:val="003A343A"/>
    <w:rsid w:val="003A466E"/>
    <w:rsid w:val="003A5D0E"/>
    <w:rsid w:val="003A60A7"/>
    <w:rsid w:val="003B0906"/>
    <w:rsid w:val="003B2A50"/>
    <w:rsid w:val="003B3345"/>
    <w:rsid w:val="003B5CE2"/>
    <w:rsid w:val="003C1234"/>
    <w:rsid w:val="003C4124"/>
    <w:rsid w:val="003D6325"/>
    <w:rsid w:val="003E6BFB"/>
    <w:rsid w:val="003F0278"/>
    <w:rsid w:val="003F1E9D"/>
    <w:rsid w:val="003F76A0"/>
    <w:rsid w:val="00401E30"/>
    <w:rsid w:val="004033DB"/>
    <w:rsid w:val="004077A4"/>
    <w:rsid w:val="004179C8"/>
    <w:rsid w:val="00423317"/>
    <w:rsid w:val="00427A6E"/>
    <w:rsid w:val="004300EE"/>
    <w:rsid w:val="00431670"/>
    <w:rsid w:val="00442705"/>
    <w:rsid w:val="00444A55"/>
    <w:rsid w:val="0044700B"/>
    <w:rsid w:val="0044760A"/>
    <w:rsid w:val="00451798"/>
    <w:rsid w:val="00453528"/>
    <w:rsid w:val="00453C0E"/>
    <w:rsid w:val="00461A90"/>
    <w:rsid w:val="004704E1"/>
    <w:rsid w:val="004820BD"/>
    <w:rsid w:val="00484A1D"/>
    <w:rsid w:val="00484D69"/>
    <w:rsid w:val="004929AC"/>
    <w:rsid w:val="00492EAC"/>
    <w:rsid w:val="00496451"/>
    <w:rsid w:val="004A6419"/>
    <w:rsid w:val="004B531C"/>
    <w:rsid w:val="004C1246"/>
    <w:rsid w:val="004C2337"/>
    <w:rsid w:val="004D3106"/>
    <w:rsid w:val="004D55B5"/>
    <w:rsid w:val="004D6DB7"/>
    <w:rsid w:val="004E11C6"/>
    <w:rsid w:val="004E36AB"/>
    <w:rsid w:val="004F503B"/>
    <w:rsid w:val="004F551A"/>
    <w:rsid w:val="005002DF"/>
    <w:rsid w:val="00500EBD"/>
    <w:rsid w:val="00503B27"/>
    <w:rsid w:val="00504232"/>
    <w:rsid w:val="0050556E"/>
    <w:rsid w:val="00510C66"/>
    <w:rsid w:val="00511F4B"/>
    <w:rsid w:val="0051372C"/>
    <w:rsid w:val="00521ED7"/>
    <w:rsid w:val="00526964"/>
    <w:rsid w:val="00532D5A"/>
    <w:rsid w:val="005354E4"/>
    <w:rsid w:val="00552729"/>
    <w:rsid w:val="00553E6F"/>
    <w:rsid w:val="005663D6"/>
    <w:rsid w:val="00570701"/>
    <w:rsid w:val="00573053"/>
    <w:rsid w:val="0057414B"/>
    <w:rsid w:val="0057576E"/>
    <w:rsid w:val="0058367D"/>
    <w:rsid w:val="00586D66"/>
    <w:rsid w:val="0059324F"/>
    <w:rsid w:val="005A0877"/>
    <w:rsid w:val="005A17EC"/>
    <w:rsid w:val="005A1A1D"/>
    <w:rsid w:val="005A485B"/>
    <w:rsid w:val="005A5128"/>
    <w:rsid w:val="005A6276"/>
    <w:rsid w:val="005A6B7D"/>
    <w:rsid w:val="005B5550"/>
    <w:rsid w:val="005B65F0"/>
    <w:rsid w:val="005C4475"/>
    <w:rsid w:val="005D2A14"/>
    <w:rsid w:val="005D36E9"/>
    <w:rsid w:val="005E0059"/>
    <w:rsid w:val="005E0326"/>
    <w:rsid w:val="005E1116"/>
    <w:rsid w:val="005E261D"/>
    <w:rsid w:val="005E49A6"/>
    <w:rsid w:val="005E6D32"/>
    <w:rsid w:val="005F0DC8"/>
    <w:rsid w:val="005F7EC2"/>
    <w:rsid w:val="00600FA4"/>
    <w:rsid w:val="00605720"/>
    <w:rsid w:val="00611BDC"/>
    <w:rsid w:val="006177DC"/>
    <w:rsid w:val="00617ABE"/>
    <w:rsid w:val="00623BD2"/>
    <w:rsid w:val="00626265"/>
    <w:rsid w:val="006269F8"/>
    <w:rsid w:val="00637994"/>
    <w:rsid w:val="00642EBC"/>
    <w:rsid w:val="00643B2E"/>
    <w:rsid w:val="00646AD1"/>
    <w:rsid w:val="00670053"/>
    <w:rsid w:val="00673E71"/>
    <w:rsid w:val="006823DB"/>
    <w:rsid w:val="00692309"/>
    <w:rsid w:val="00694DDB"/>
    <w:rsid w:val="006A1E31"/>
    <w:rsid w:val="006A390F"/>
    <w:rsid w:val="006A580A"/>
    <w:rsid w:val="006B2260"/>
    <w:rsid w:val="006B34CD"/>
    <w:rsid w:val="006C528F"/>
    <w:rsid w:val="006C691E"/>
    <w:rsid w:val="006C6CA7"/>
    <w:rsid w:val="006D59C3"/>
    <w:rsid w:val="006E4386"/>
    <w:rsid w:val="006E5310"/>
    <w:rsid w:val="006E5434"/>
    <w:rsid w:val="006F0C81"/>
    <w:rsid w:val="006F5EED"/>
    <w:rsid w:val="006F7780"/>
    <w:rsid w:val="007116D0"/>
    <w:rsid w:val="00711761"/>
    <w:rsid w:val="00711D1A"/>
    <w:rsid w:val="00725CE5"/>
    <w:rsid w:val="0073019F"/>
    <w:rsid w:val="00734046"/>
    <w:rsid w:val="00735560"/>
    <w:rsid w:val="00736027"/>
    <w:rsid w:val="007370E0"/>
    <w:rsid w:val="00740EDF"/>
    <w:rsid w:val="007466B8"/>
    <w:rsid w:val="007511A1"/>
    <w:rsid w:val="00751448"/>
    <w:rsid w:val="00751A09"/>
    <w:rsid w:val="0075383C"/>
    <w:rsid w:val="00754147"/>
    <w:rsid w:val="00756C08"/>
    <w:rsid w:val="00756D75"/>
    <w:rsid w:val="00760A58"/>
    <w:rsid w:val="00763073"/>
    <w:rsid w:val="007645BE"/>
    <w:rsid w:val="0076560D"/>
    <w:rsid w:val="00767A99"/>
    <w:rsid w:val="00774D28"/>
    <w:rsid w:val="00784D44"/>
    <w:rsid w:val="00791A96"/>
    <w:rsid w:val="00793C8C"/>
    <w:rsid w:val="00793E7F"/>
    <w:rsid w:val="007940D2"/>
    <w:rsid w:val="00794B04"/>
    <w:rsid w:val="0079591D"/>
    <w:rsid w:val="0079610B"/>
    <w:rsid w:val="00797739"/>
    <w:rsid w:val="007A4FEC"/>
    <w:rsid w:val="007A5E60"/>
    <w:rsid w:val="007B0382"/>
    <w:rsid w:val="007B7CAA"/>
    <w:rsid w:val="007C28FF"/>
    <w:rsid w:val="007C5AC5"/>
    <w:rsid w:val="007D26E7"/>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087"/>
    <w:rsid w:val="008706BC"/>
    <w:rsid w:val="00872CCF"/>
    <w:rsid w:val="00873525"/>
    <w:rsid w:val="00890A44"/>
    <w:rsid w:val="00891B82"/>
    <w:rsid w:val="00891DDA"/>
    <w:rsid w:val="00893043"/>
    <w:rsid w:val="00894724"/>
    <w:rsid w:val="0089642C"/>
    <w:rsid w:val="008A09D1"/>
    <w:rsid w:val="008A37FE"/>
    <w:rsid w:val="008B258B"/>
    <w:rsid w:val="008B332E"/>
    <w:rsid w:val="008B40F9"/>
    <w:rsid w:val="008B5F0B"/>
    <w:rsid w:val="008B610C"/>
    <w:rsid w:val="008B78AD"/>
    <w:rsid w:val="008C37F3"/>
    <w:rsid w:val="008C5BE5"/>
    <w:rsid w:val="008C7FED"/>
    <w:rsid w:val="008D0477"/>
    <w:rsid w:val="008D5C67"/>
    <w:rsid w:val="0090595F"/>
    <w:rsid w:val="0090670A"/>
    <w:rsid w:val="00906781"/>
    <w:rsid w:val="00916300"/>
    <w:rsid w:val="009211BA"/>
    <w:rsid w:val="00922838"/>
    <w:rsid w:val="00922F5D"/>
    <w:rsid w:val="009339E2"/>
    <w:rsid w:val="00933D79"/>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E092F"/>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75C78"/>
    <w:rsid w:val="00A86097"/>
    <w:rsid w:val="00AA6478"/>
    <w:rsid w:val="00AA6A67"/>
    <w:rsid w:val="00AB148A"/>
    <w:rsid w:val="00AB2670"/>
    <w:rsid w:val="00AB2B0F"/>
    <w:rsid w:val="00AC096E"/>
    <w:rsid w:val="00AC5736"/>
    <w:rsid w:val="00AC69B7"/>
    <w:rsid w:val="00AC7691"/>
    <w:rsid w:val="00AD184D"/>
    <w:rsid w:val="00AD689E"/>
    <w:rsid w:val="00AD7D6F"/>
    <w:rsid w:val="00AE5A16"/>
    <w:rsid w:val="00AF0A71"/>
    <w:rsid w:val="00AF2833"/>
    <w:rsid w:val="00AF2A0E"/>
    <w:rsid w:val="00AF2C9C"/>
    <w:rsid w:val="00B03355"/>
    <w:rsid w:val="00B0469B"/>
    <w:rsid w:val="00B127DF"/>
    <w:rsid w:val="00B14566"/>
    <w:rsid w:val="00B20711"/>
    <w:rsid w:val="00B237EB"/>
    <w:rsid w:val="00B24D94"/>
    <w:rsid w:val="00B268E1"/>
    <w:rsid w:val="00B269D7"/>
    <w:rsid w:val="00B303C2"/>
    <w:rsid w:val="00B362C3"/>
    <w:rsid w:val="00B43F7F"/>
    <w:rsid w:val="00B63A00"/>
    <w:rsid w:val="00B651CC"/>
    <w:rsid w:val="00B73F27"/>
    <w:rsid w:val="00B74C14"/>
    <w:rsid w:val="00B822B3"/>
    <w:rsid w:val="00B9246B"/>
    <w:rsid w:val="00B92BAD"/>
    <w:rsid w:val="00B9520A"/>
    <w:rsid w:val="00B979F5"/>
    <w:rsid w:val="00BA07A7"/>
    <w:rsid w:val="00BA3056"/>
    <w:rsid w:val="00BB47F3"/>
    <w:rsid w:val="00BC2DBE"/>
    <w:rsid w:val="00BD0ED0"/>
    <w:rsid w:val="00BE7259"/>
    <w:rsid w:val="00BE73E2"/>
    <w:rsid w:val="00C0432F"/>
    <w:rsid w:val="00C10571"/>
    <w:rsid w:val="00C24E7B"/>
    <w:rsid w:val="00C36E42"/>
    <w:rsid w:val="00C45971"/>
    <w:rsid w:val="00C51DAF"/>
    <w:rsid w:val="00C52425"/>
    <w:rsid w:val="00C555AC"/>
    <w:rsid w:val="00C56CDE"/>
    <w:rsid w:val="00C5764E"/>
    <w:rsid w:val="00C64274"/>
    <w:rsid w:val="00C65487"/>
    <w:rsid w:val="00C65987"/>
    <w:rsid w:val="00C72D8B"/>
    <w:rsid w:val="00C74F01"/>
    <w:rsid w:val="00C83D98"/>
    <w:rsid w:val="00C87EB0"/>
    <w:rsid w:val="00C9140D"/>
    <w:rsid w:val="00C92139"/>
    <w:rsid w:val="00C94906"/>
    <w:rsid w:val="00CA0830"/>
    <w:rsid w:val="00CA08E7"/>
    <w:rsid w:val="00CA0BB3"/>
    <w:rsid w:val="00CA378D"/>
    <w:rsid w:val="00CB7617"/>
    <w:rsid w:val="00CC2CF9"/>
    <w:rsid w:val="00CC55CE"/>
    <w:rsid w:val="00CD3458"/>
    <w:rsid w:val="00CE7048"/>
    <w:rsid w:val="00CF0ED4"/>
    <w:rsid w:val="00CF10A0"/>
    <w:rsid w:val="00D01A27"/>
    <w:rsid w:val="00D043A5"/>
    <w:rsid w:val="00D05CBE"/>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85FF8"/>
    <w:rsid w:val="00D97840"/>
    <w:rsid w:val="00DB016C"/>
    <w:rsid w:val="00DC0F80"/>
    <w:rsid w:val="00DC1C67"/>
    <w:rsid w:val="00DD7D0E"/>
    <w:rsid w:val="00DE0889"/>
    <w:rsid w:val="00DF02D4"/>
    <w:rsid w:val="00DF2AD8"/>
    <w:rsid w:val="00DF7FCB"/>
    <w:rsid w:val="00E066BD"/>
    <w:rsid w:val="00E076AB"/>
    <w:rsid w:val="00E1736F"/>
    <w:rsid w:val="00E17FF5"/>
    <w:rsid w:val="00E23D1A"/>
    <w:rsid w:val="00E26009"/>
    <w:rsid w:val="00E3162A"/>
    <w:rsid w:val="00E37C85"/>
    <w:rsid w:val="00E407C9"/>
    <w:rsid w:val="00E40E23"/>
    <w:rsid w:val="00E46BD6"/>
    <w:rsid w:val="00E51C44"/>
    <w:rsid w:val="00E5280E"/>
    <w:rsid w:val="00E5401A"/>
    <w:rsid w:val="00E55EDB"/>
    <w:rsid w:val="00E56172"/>
    <w:rsid w:val="00E60002"/>
    <w:rsid w:val="00E63C4E"/>
    <w:rsid w:val="00E730DF"/>
    <w:rsid w:val="00E74D76"/>
    <w:rsid w:val="00E754A7"/>
    <w:rsid w:val="00E7787D"/>
    <w:rsid w:val="00E81909"/>
    <w:rsid w:val="00E82C78"/>
    <w:rsid w:val="00E83D4E"/>
    <w:rsid w:val="00E84A18"/>
    <w:rsid w:val="00E84C25"/>
    <w:rsid w:val="00E84FF9"/>
    <w:rsid w:val="00E93BC2"/>
    <w:rsid w:val="00EA7020"/>
    <w:rsid w:val="00EB2D15"/>
    <w:rsid w:val="00EB2FD4"/>
    <w:rsid w:val="00EB45CC"/>
    <w:rsid w:val="00EB7300"/>
    <w:rsid w:val="00EC5664"/>
    <w:rsid w:val="00EE0CE1"/>
    <w:rsid w:val="00EE1078"/>
    <w:rsid w:val="00EE19A8"/>
    <w:rsid w:val="00EF1332"/>
    <w:rsid w:val="00EF79B0"/>
    <w:rsid w:val="00F0035B"/>
    <w:rsid w:val="00F01D4C"/>
    <w:rsid w:val="00F024DB"/>
    <w:rsid w:val="00F143B1"/>
    <w:rsid w:val="00F1451E"/>
    <w:rsid w:val="00F23CF0"/>
    <w:rsid w:val="00F274F8"/>
    <w:rsid w:val="00F3340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224C"/>
    <w:rsid w:val="00FA33E4"/>
    <w:rsid w:val="00FB0D99"/>
    <w:rsid w:val="00FB523A"/>
    <w:rsid w:val="00FB5471"/>
    <w:rsid w:val="00FB606D"/>
    <w:rsid w:val="00FC18D8"/>
    <w:rsid w:val="00FC7BB3"/>
    <w:rsid w:val="00FC7D4F"/>
    <w:rsid w:val="00FD0CCE"/>
    <w:rsid w:val="00FE48C9"/>
    <w:rsid w:val="00FE6723"/>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24524CA"/>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F2EFD742"/>
    <w:rsid w:val="F3DECE3F"/>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Pages>
  <Words>1055</Words>
  <Characters>2002</Characters>
  <Lines>79</Lines>
  <Paragraphs>41</Paragraphs>
  <TotalTime>223</TotalTime>
  <ScaleCrop>false</ScaleCrop>
  <LinksUpToDate>false</LinksUpToDate>
  <CharactersWithSpaces>2198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2025-09-11T08:26:00Z</dcterms:created>
  <dc:creator>胡胜链</dc:creator>
  <cp:lastModifiedBy>葛格</cp:lastModifiedBy>
  <cp:lastPrinted>2022-01-27T01:53:00Z</cp:lastPrinted>
  <dcterms:modified xsi:type="dcterms:W3CDTF">2025-09-16T02:25:25Z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99977CC7E246406C8C2CC8E6897C84F9_13</vt:lpwstr>
  </property>
</Properties>
</file>