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E5298">
      <w:pPr>
        <w:jc w:val="center"/>
        <w:rPr>
          <w:rStyle w:val="7"/>
          <w:rFonts w:eastAsia="方正小标宋简体"/>
          <w:bCs w:val="0"/>
          <w:color w:val="auto"/>
          <w:sz w:val="36"/>
          <w:szCs w:val="36"/>
        </w:rPr>
      </w:pPr>
      <w:r>
        <w:rPr>
          <w:rStyle w:val="7"/>
          <w:rFonts w:eastAsia="方正小标宋简体"/>
          <w:b w:val="0"/>
          <w:color w:val="auto"/>
          <w:sz w:val="36"/>
          <w:szCs w:val="36"/>
        </w:rPr>
        <w:t>浙江省科学技术奖公示信息表</w:t>
      </w:r>
    </w:p>
    <w:p w14:paraId="0C0A8D8D">
      <w:pPr>
        <w:spacing w:line="440" w:lineRule="exact"/>
        <w:rPr>
          <w:rFonts w:eastAsia="仿宋_GB2312"/>
          <w:color w:val="auto"/>
          <w:sz w:val="28"/>
          <w:szCs w:val="24"/>
        </w:rPr>
      </w:pPr>
      <w:r>
        <w:rPr>
          <w:rFonts w:eastAsia="仿宋_GB2312"/>
          <w:color w:val="auto"/>
          <w:sz w:val="28"/>
          <w:szCs w:val="24"/>
        </w:rPr>
        <w:t>提名奖项：（科学技术进步奖）</w:t>
      </w:r>
    </w:p>
    <w:tbl>
      <w:tblPr>
        <w:tblStyle w:val="4"/>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1528"/>
        <w:gridCol w:w="1110"/>
        <w:gridCol w:w="1935"/>
        <w:gridCol w:w="1664"/>
      </w:tblGrid>
      <w:tr w14:paraId="7B5E1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1B501B13">
            <w:pPr>
              <w:jc w:val="center"/>
              <w:rPr>
                <w:rStyle w:val="7"/>
                <w:rFonts w:eastAsia="仿宋_GB2312"/>
                <w:b w:val="0"/>
                <w:color w:val="auto"/>
                <w:sz w:val="28"/>
              </w:rPr>
            </w:pPr>
            <w:r>
              <w:rPr>
                <w:rStyle w:val="7"/>
                <w:rFonts w:eastAsia="仿宋_GB2312"/>
                <w:b w:val="0"/>
                <w:bCs w:val="0"/>
                <w:color w:val="auto"/>
                <w:sz w:val="28"/>
              </w:rPr>
              <w:t>成果名称</w:t>
            </w:r>
          </w:p>
        </w:tc>
        <w:tc>
          <w:tcPr>
            <w:tcW w:w="6237" w:type="dxa"/>
            <w:gridSpan w:val="4"/>
            <w:vAlign w:val="center"/>
          </w:tcPr>
          <w:p w14:paraId="630B33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7"/>
                <w:rFonts w:eastAsia="仿宋_GB2312"/>
                <w:b w:val="0"/>
                <w:color w:val="auto"/>
                <w:sz w:val="28"/>
              </w:rPr>
            </w:pPr>
            <w:bookmarkStart w:id="0" w:name="_GoBack"/>
            <w:r>
              <w:rPr>
                <w:rStyle w:val="7"/>
                <w:rFonts w:hint="eastAsia" w:eastAsia="仿宋_GB2312"/>
                <w:b w:val="0"/>
                <w:color w:val="auto"/>
                <w:sz w:val="24"/>
                <w:szCs w:val="22"/>
                <w:lang w:val="en-US" w:eastAsia="zh-CN"/>
              </w:rPr>
              <w:t>支撑新能源消纳的发电机组灵活运行与省地协同控制关键技术及应用</w:t>
            </w:r>
            <w:bookmarkEnd w:id="0"/>
          </w:p>
        </w:tc>
      </w:tr>
      <w:tr w14:paraId="700E1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403FA152">
            <w:pPr>
              <w:jc w:val="center"/>
              <w:rPr>
                <w:rStyle w:val="7"/>
                <w:rFonts w:eastAsia="仿宋_GB2312"/>
                <w:b w:val="0"/>
                <w:color w:val="auto"/>
                <w:sz w:val="28"/>
              </w:rPr>
            </w:pPr>
            <w:r>
              <w:rPr>
                <w:rStyle w:val="7"/>
                <w:rFonts w:eastAsia="仿宋_GB2312"/>
                <w:b w:val="0"/>
                <w:bCs w:val="0"/>
                <w:color w:val="auto"/>
                <w:sz w:val="28"/>
              </w:rPr>
              <w:t>提名等级</w:t>
            </w:r>
          </w:p>
        </w:tc>
        <w:tc>
          <w:tcPr>
            <w:tcW w:w="6237" w:type="dxa"/>
            <w:gridSpan w:val="4"/>
            <w:vAlign w:val="center"/>
          </w:tcPr>
          <w:p w14:paraId="1FA748CB">
            <w:pPr>
              <w:jc w:val="center"/>
              <w:rPr>
                <w:rStyle w:val="7"/>
                <w:rFonts w:hint="eastAsia" w:eastAsia="仿宋_GB2312"/>
                <w:b w:val="0"/>
                <w:color w:val="auto"/>
                <w:sz w:val="28"/>
                <w:lang w:val="en-US" w:eastAsia="zh-CN"/>
              </w:rPr>
            </w:pPr>
            <w:r>
              <w:rPr>
                <w:rStyle w:val="7"/>
                <w:rFonts w:hint="eastAsia" w:eastAsia="仿宋_GB2312"/>
                <w:b w:val="0"/>
                <w:color w:val="auto"/>
                <w:sz w:val="24"/>
                <w:szCs w:val="22"/>
                <w:lang w:val="en-US" w:eastAsia="zh-CN"/>
              </w:rPr>
              <w:t>一等奖</w:t>
            </w:r>
          </w:p>
        </w:tc>
      </w:tr>
      <w:tr w14:paraId="54BE3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2269" w:type="dxa"/>
            <w:vMerge w:val="restart"/>
            <w:vAlign w:val="center"/>
          </w:tcPr>
          <w:p w14:paraId="1EC30F45">
            <w:pPr>
              <w:spacing w:line="440" w:lineRule="exact"/>
              <w:jc w:val="center"/>
              <w:rPr>
                <w:rFonts w:eastAsia="仿宋_GB2312"/>
                <w:bCs/>
                <w:color w:val="auto"/>
                <w:sz w:val="28"/>
                <w:szCs w:val="24"/>
              </w:rPr>
            </w:pPr>
            <w:r>
              <w:rPr>
                <w:rFonts w:eastAsia="仿宋_GB2312"/>
                <w:bCs/>
                <w:color w:val="auto"/>
                <w:sz w:val="28"/>
                <w:szCs w:val="24"/>
              </w:rPr>
              <w:t>提名书</w:t>
            </w:r>
          </w:p>
          <w:p w14:paraId="7CCEB3A3">
            <w:pPr>
              <w:spacing w:line="440" w:lineRule="exact"/>
              <w:jc w:val="center"/>
              <w:rPr>
                <w:rFonts w:eastAsia="仿宋_GB2312"/>
                <w:bCs/>
                <w:color w:val="auto"/>
                <w:sz w:val="28"/>
                <w:szCs w:val="24"/>
              </w:rPr>
            </w:pPr>
            <w:r>
              <w:rPr>
                <w:rFonts w:eastAsia="仿宋_GB2312"/>
                <w:bCs/>
                <w:color w:val="auto"/>
                <w:sz w:val="28"/>
                <w:szCs w:val="24"/>
              </w:rPr>
              <w:t>相关内容</w:t>
            </w:r>
          </w:p>
        </w:tc>
        <w:tc>
          <w:tcPr>
            <w:tcW w:w="1528" w:type="dxa"/>
            <w:shd w:val="clear" w:color="auto" w:fill="auto"/>
            <w:vAlign w:val="center"/>
          </w:tcPr>
          <w:p w14:paraId="1D14777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eastAsia="仿宋_GB2312"/>
                <w:color w:val="000000" w:themeColor="text1"/>
                <w:szCs w:val="21"/>
                <w14:textFill>
                  <w14:solidFill>
                    <w14:schemeClr w14:val="tx1"/>
                  </w14:solidFill>
                </w14:textFill>
              </w:rPr>
              <w:t>知识产权名称</w:t>
            </w:r>
          </w:p>
        </w:tc>
        <w:tc>
          <w:tcPr>
            <w:tcW w:w="1110" w:type="dxa"/>
            <w:shd w:val="clear" w:color="auto" w:fill="auto"/>
            <w:vAlign w:val="center"/>
          </w:tcPr>
          <w:p w14:paraId="4720F57B">
            <w:pPr>
              <w:jc w:val="center"/>
              <w:rPr>
                <w:rFonts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eastAsia="仿宋_GB2312"/>
                <w:color w:val="000000" w:themeColor="text1"/>
                <w:szCs w:val="21"/>
                <w14:textFill>
                  <w14:solidFill>
                    <w14:schemeClr w14:val="tx1"/>
                  </w14:solidFill>
                </w14:textFill>
              </w:rPr>
              <w:t>授权号</w:t>
            </w:r>
          </w:p>
        </w:tc>
        <w:tc>
          <w:tcPr>
            <w:tcW w:w="1935" w:type="dxa"/>
            <w:shd w:val="clear" w:color="auto" w:fill="auto"/>
            <w:vAlign w:val="center"/>
          </w:tcPr>
          <w:p w14:paraId="2B52756A">
            <w:pPr>
              <w:jc w:val="center"/>
              <w:rPr>
                <w:rFonts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eastAsia="仿宋_GB2312"/>
                <w:color w:val="000000" w:themeColor="text1"/>
                <w:szCs w:val="21"/>
                <w14:textFill>
                  <w14:solidFill>
                    <w14:schemeClr w14:val="tx1"/>
                  </w14:solidFill>
                </w14:textFill>
              </w:rPr>
              <w:t>权利人</w:t>
            </w:r>
          </w:p>
        </w:tc>
        <w:tc>
          <w:tcPr>
            <w:tcW w:w="1664" w:type="dxa"/>
            <w:shd w:val="clear" w:color="auto" w:fill="auto"/>
            <w:vAlign w:val="center"/>
          </w:tcPr>
          <w:p w14:paraId="2777C47D">
            <w:pPr>
              <w:jc w:val="center"/>
              <w:rPr>
                <w:rFonts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eastAsia="仿宋_GB2312"/>
                <w:color w:val="000000" w:themeColor="text1"/>
                <w:szCs w:val="21"/>
                <w14:textFill>
                  <w14:solidFill>
                    <w14:schemeClr w14:val="tx1"/>
                  </w14:solidFill>
                </w14:textFill>
              </w:rPr>
              <w:t>发明人</w:t>
            </w:r>
          </w:p>
        </w:tc>
      </w:tr>
      <w:tr w14:paraId="52F81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2269" w:type="dxa"/>
            <w:vMerge w:val="continue"/>
            <w:vAlign w:val="center"/>
          </w:tcPr>
          <w:p w14:paraId="08AA09DE">
            <w:pPr>
              <w:spacing w:line="440" w:lineRule="exact"/>
              <w:jc w:val="left"/>
            </w:pPr>
          </w:p>
        </w:tc>
        <w:tc>
          <w:tcPr>
            <w:tcW w:w="1528" w:type="dxa"/>
            <w:shd w:val="clear" w:color="auto" w:fill="auto"/>
            <w:vAlign w:val="center"/>
          </w:tcPr>
          <w:p w14:paraId="15CE5A7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一种电网多种调节资源的协调优化方法</w:t>
            </w:r>
          </w:p>
        </w:tc>
        <w:tc>
          <w:tcPr>
            <w:tcW w:w="1110" w:type="dxa"/>
            <w:shd w:val="clear" w:color="auto" w:fill="auto"/>
            <w:vAlign w:val="center"/>
          </w:tcPr>
          <w:p w14:paraId="50035A98">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ZL202110008231.7</w:t>
            </w:r>
          </w:p>
        </w:tc>
        <w:tc>
          <w:tcPr>
            <w:tcW w:w="1935" w:type="dxa"/>
            <w:shd w:val="clear" w:color="auto" w:fill="auto"/>
            <w:vAlign w:val="center"/>
          </w:tcPr>
          <w:p w14:paraId="788B5ADC">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国网浙江省电力有限公司电力科学研究院、国网浙江省电力有限公司、杭州意能电力技术有限公司</w:t>
            </w:r>
          </w:p>
        </w:tc>
        <w:tc>
          <w:tcPr>
            <w:tcW w:w="1664" w:type="dxa"/>
            <w:shd w:val="clear" w:color="auto" w:fill="auto"/>
            <w:vAlign w:val="center"/>
          </w:tcPr>
          <w:p w14:paraId="6F357CB8">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张江丰、苏烨、石剑涛、郭烨、魏路平、沈欣炜、卢敏、孙坚栋、汪自翔、郑可轲、陈巍文、华丽云、丁伟聪</w:t>
            </w:r>
          </w:p>
        </w:tc>
      </w:tr>
      <w:tr w14:paraId="505C5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2269" w:type="dxa"/>
            <w:vMerge w:val="continue"/>
            <w:vAlign w:val="center"/>
          </w:tcPr>
          <w:p w14:paraId="2B7AA1B9">
            <w:pPr>
              <w:spacing w:line="440" w:lineRule="exact"/>
              <w:jc w:val="left"/>
              <w:rPr>
                <w:rFonts w:eastAsia="仿宋_GB2312"/>
                <w:bCs/>
                <w:color w:val="auto"/>
                <w:sz w:val="24"/>
                <w:szCs w:val="24"/>
              </w:rPr>
            </w:pPr>
          </w:p>
        </w:tc>
        <w:tc>
          <w:tcPr>
            <w:tcW w:w="1528" w:type="dxa"/>
            <w:shd w:val="clear" w:color="auto" w:fill="auto"/>
            <w:vAlign w:val="center"/>
          </w:tcPr>
          <w:p w14:paraId="7DCB9722">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一种新能源场站内部调频指令分解模型构建方法</w:t>
            </w:r>
          </w:p>
        </w:tc>
        <w:tc>
          <w:tcPr>
            <w:tcW w:w="1110" w:type="dxa"/>
            <w:shd w:val="clear" w:color="auto" w:fill="auto"/>
            <w:vAlign w:val="center"/>
          </w:tcPr>
          <w:p w14:paraId="5A344A5E">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ZL202011522317.3</w:t>
            </w:r>
          </w:p>
        </w:tc>
        <w:tc>
          <w:tcPr>
            <w:tcW w:w="1935" w:type="dxa"/>
            <w:shd w:val="clear" w:color="auto" w:fill="auto"/>
            <w:vAlign w:val="center"/>
          </w:tcPr>
          <w:p w14:paraId="16324450">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国网浙江省电力有限公司电力科学研究院、国网浙江省电力有限公司、杭州意能电力技术有限公司</w:t>
            </w:r>
          </w:p>
        </w:tc>
        <w:tc>
          <w:tcPr>
            <w:tcW w:w="1664" w:type="dxa"/>
            <w:shd w:val="clear" w:color="auto" w:fill="auto"/>
            <w:vAlign w:val="center"/>
          </w:tcPr>
          <w:p w14:paraId="009CCD19">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张江丰、苏烨、石剑涛、郭烨、陈文进、魏路平、孙坚栋、郑可轲、陈巍文、丁伟聪</w:t>
            </w:r>
          </w:p>
        </w:tc>
      </w:tr>
      <w:tr w14:paraId="7CA60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2269" w:type="dxa"/>
            <w:vMerge w:val="continue"/>
            <w:vAlign w:val="center"/>
          </w:tcPr>
          <w:p w14:paraId="44D46B1A">
            <w:pPr>
              <w:spacing w:line="440" w:lineRule="exact"/>
              <w:jc w:val="left"/>
              <w:rPr>
                <w:rFonts w:eastAsia="仿宋_GB2312"/>
                <w:bCs/>
                <w:color w:val="auto"/>
                <w:sz w:val="24"/>
                <w:szCs w:val="24"/>
              </w:rPr>
            </w:pPr>
          </w:p>
        </w:tc>
        <w:tc>
          <w:tcPr>
            <w:tcW w:w="1528" w:type="dxa"/>
            <w:shd w:val="clear" w:color="auto" w:fill="auto"/>
            <w:vAlign w:val="center"/>
          </w:tcPr>
          <w:p w14:paraId="24A8CFD2">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一种电网频率安全开机裕量计算方法及开机方法</w:t>
            </w:r>
          </w:p>
        </w:tc>
        <w:tc>
          <w:tcPr>
            <w:tcW w:w="1110" w:type="dxa"/>
            <w:shd w:val="clear" w:color="auto" w:fill="auto"/>
            <w:vAlign w:val="center"/>
          </w:tcPr>
          <w:p w14:paraId="640B242D">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ZL201910234563.X</w:t>
            </w:r>
          </w:p>
        </w:tc>
        <w:tc>
          <w:tcPr>
            <w:tcW w:w="1935" w:type="dxa"/>
            <w:shd w:val="clear" w:color="auto" w:fill="auto"/>
            <w:vAlign w:val="center"/>
          </w:tcPr>
          <w:p w14:paraId="394E8C29">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国网浙江省电力有限公司电力科学研究院、国网浙江省电力有限公司、杭州意能电力技术有限公司</w:t>
            </w:r>
          </w:p>
        </w:tc>
        <w:tc>
          <w:tcPr>
            <w:tcW w:w="1664" w:type="dxa"/>
            <w:shd w:val="clear" w:color="auto" w:fill="auto"/>
            <w:vAlign w:val="center"/>
          </w:tcPr>
          <w:p w14:paraId="4AD1EF63">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苏烨、张江丰、尹峰、宣晓华、魏路平、卢敏、汪自翔、戴航丹、孙坚栋、丁伟聪</w:t>
            </w:r>
          </w:p>
        </w:tc>
      </w:tr>
      <w:tr w14:paraId="5080E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2269" w:type="dxa"/>
            <w:vMerge w:val="continue"/>
            <w:vAlign w:val="center"/>
          </w:tcPr>
          <w:p w14:paraId="6B696E53">
            <w:pPr>
              <w:spacing w:line="440" w:lineRule="exact"/>
              <w:jc w:val="left"/>
              <w:rPr>
                <w:rFonts w:eastAsia="仿宋_GB2312"/>
                <w:bCs/>
                <w:color w:val="auto"/>
                <w:sz w:val="24"/>
                <w:szCs w:val="24"/>
              </w:rPr>
            </w:pPr>
          </w:p>
        </w:tc>
        <w:tc>
          <w:tcPr>
            <w:tcW w:w="1528" w:type="dxa"/>
            <w:shd w:val="clear" w:color="auto" w:fill="auto"/>
            <w:vAlign w:val="center"/>
          </w:tcPr>
          <w:p w14:paraId="527F67F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基于ACE共享的互联电网两级调度AGC协调控制系统及方法</w:t>
            </w:r>
          </w:p>
        </w:tc>
        <w:tc>
          <w:tcPr>
            <w:tcW w:w="1110" w:type="dxa"/>
            <w:shd w:val="clear" w:color="auto" w:fill="auto"/>
            <w:vAlign w:val="center"/>
          </w:tcPr>
          <w:p w14:paraId="034E4673">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ZL201710001792.8</w:t>
            </w:r>
          </w:p>
        </w:tc>
        <w:tc>
          <w:tcPr>
            <w:tcW w:w="1935" w:type="dxa"/>
            <w:shd w:val="clear" w:color="auto" w:fill="auto"/>
            <w:vAlign w:val="center"/>
          </w:tcPr>
          <w:p w14:paraId="7295613D">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国电南瑞科技股份有限公司、国网江苏省电力公司、南京南瑞集团公司、国电南瑞南京控制系统有限公司</w:t>
            </w:r>
          </w:p>
        </w:tc>
        <w:tc>
          <w:tcPr>
            <w:tcW w:w="1664" w:type="dxa"/>
            <w:shd w:val="clear" w:color="auto" w:fill="auto"/>
            <w:vAlign w:val="center"/>
          </w:tcPr>
          <w:p w14:paraId="7EB9ED66">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滕贤亮、吴继平、苏大威、谈超、于昌海、徐春雷、徐瑞、钱玉妹、张琦兵、丁恰</w:t>
            </w:r>
          </w:p>
        </w:tc>
      </w:tr>
      <w:tr w14:paraId="00985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2269" w:type="dxa"/>
            <w:vMerge w:val="continue"/>
            <w:vAlign w:val="center"/>
          </w:tcPr>
          <w:p w14:paraId="5DC1CC2F">
            <w:pPr>
              <w:spacing w:line="440" w:lineRule="exact"/>
              <w:jc w:val="left"/>
              <w:rPr>
                <w:rFonts w:eastAsia="仿宋_GB2312"/>
                <w:bCs/>
                <w:color w:val="auto"/>
                <w:sz w:val="24"/>
                <w:szCs w:val="24"/>
              </w:rPr>
            </w:pPr>
          </w:p>
        </w:tc>
        <w:tc>
          <w:tcPr>
            <w:tcW w:w="1528" w:type="dxa"/>
            <w:shd w:val="clear" w:color="auto" w:fill="auto"/>
            <w:vAlign w:val="center"/>
          </w:tcPr>
          <w:p w14:paraId="5D317819">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一种燃煤机组一键自动暖磨控制方法</w:t>
            </w:r>
          </w:p>
        </w:tc>
        <w:tc>
          <w:tcPr>
            <w:tcW w:w="1110" w:type="dxa"/>
            <w:shd w:val="clear" w:color="auto" w:fill="auto"/>
            <w:vAlign w:val="center"/>
          </w:tcPr>
          <w:p w14:paraId="580A01D8">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ZL202211108462.6</w:t>
            </w:r>
          </w:p>
        </w:tc>
        <w:tc>
          <w:tcPr>
            <w:tcW w:w="1935" w:type="dxa"/>
            <w:shd w:val="clear" w:color="auto" w:fill="auto"/>
            <w:vAlign w:val="center"/>
          </w:tcPr>
          <w:p w14:paraId="03F1B191">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杭州意能电力技术有限公司、浙江浙能台州第二发电有限责任公司</w:t>
            </w:r>
          </w:p>
        </w:tc>
        <w:tc>
          <w:tcPr>
            <w:tcW w:w="1664" w:type="dxa"/>
            <w:shd w:val="clear" w:color="auto" w:fill="auto"/>
            <w:vAlign w:val="center"/>
          </w:tcPr>
          <w:p w14:paraId="002C8C73">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张新胜、丁伟聪、王策、丁俊宏、戴航丹</w:t>
            </w:r>
          </w:p>
        </w:tc>
      </w:tr>
      <w:tr w14:paraId="19B8A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2269" w:type="dxa"/>
            <w:vMerge w:val="continue"/>
            <w:vAlign w:val="center"/>
          </w:tcPr>
          <w:p w14:paraId="3F9F98E4">
            <w:pPr>
              <w:spacing w:line="440" w:lineRule="exact"/>
              <w:jc w:val="left"/>
              <w:rPr>
                <w:rFonts w:eastAsia="仿宋_GB2312"/>
                <w:bCs/>
                <w:color w:val="auto"/>
                <w:sz w:val="24"/>
                <w:szCs w:val="24"/>
              </w:rPr>
            </w:pPr>
          </w:p>
        </w:tc>
        <w:tc>
          <w:tcPr>
            <w:tcW w:w="1528" w:type="dxa"/>
            <w:shd w:val="clear" w:color="auto" w:fill="auto"/>
            <w:vAlign w:val="center"/>
          </w:tcPr>
          <w:p w14:paraId="0EE57AD4">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基于速率自适应的汽动给水泵自动并泵控制系统</w:t>
            </w:r>
          </w:p>
        </w:tc>
        <w:tc>
          <w:tcPr>
            <w:tcW w:w="1110" w:type="dxa"/>
            <w:shd w:val="clear" w:color="auto" w:fill="auto"/>
            <w:vAlign w:val="center"/>
          </w:tcPr>
          <w:p w14:paraId="1F154923">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ZL202110926503.1</w:t>
            </w:r>
          </w:p>
        </w:tc>
        <w:tc>
          <w:tcPr>
            <w:tcW w:w="1935" w:type="dxa"/>
            <w:shd w:val="clear" w:color="auto" w:fill="auto"/>
            <w:vAlign w:val="center"/>
          </w:tcPr>
          <w:p w14:paraId="39A9B329">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杭州意能电力技术有限公司、国网浙江省电力有限公司电力科学研究院</w:t>
            </w:r>
          </w:p>
        </w:tc>
        <w:tc>
          <w:tcPr>
            <w:tcW w:w="1664" w:type="dxa"/>
            <w:shd w:val="clear" w:color="auto" w:fill="auto"/>
            <w:vAlign w:val="center"/>
          </w:tcPr>
          <w:p w14:paraId="131EAACD">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张新胜、苏烨、杨海滨、丁伟聪、丁宁、夏晋、丁永君、宋佳辉</w:t>
            </w:r>
          </w:p>
        </w:tc>
      </w:tr>
      <w:tr w14:paraId="63561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2269" w:type="dxa"/>
            <w:vMerge w:val="continue"/>
            <w:vAlign w:val="center"/>
          </w:tcPr>
          <w:p w14:paraId="5038352B">
            <w:pPr>
              <w:spacing w:line="440" w:lineRule="exact"/>
              <w:jc w:val="left"/>
              <w:rPr>
                <w:rFonts w:eastAsia="仿宋_GB2312"/>
                <w:bCs/>
                <w:color w:val="auto"/>
                <w:sz w:val="24"/>
                <w:szCs w:val="24"/>
              </w:rPr>
            </w:pPr>
          </w:p>
        </w:tc>
        <w:tc>
          <w:tcPr>
            <w:tcW w:w="1528" w:type="dxa"/>
            <w:shd w:val="clear" w:color="auto" w:fill="auto"/>
            <w:vAlign w:val="center"/>
          </w:tcPr>
          <w:p w14:paraId="4E1AB8BA">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火电机组配置中速辊式磨煤机的制粉系统自启动控制方法</w:t>
            </w:r>
          </w:p>
        </w:tc>
        <w:tc>
          <w:tcPr>
            <w:tcW w:w="1110" w:type="dxa"/>
            <w:shd w:val="clear" w:color="auto" w:fill="auto"/>
            <w:vAlign w:val="center"/>
          </w:tcPr>
          <w:p w14:paraId="051259F8">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ZL202110925171.5</w:t>
            </w:r>
          </w:p>
        </w:tc>
        <w:tc>
          <w:tcPr>
            <w:tcW w:w="1935" w:type="dxa"/>
            <w:shd w:val="clear" w:color="auto" w:fill="auto"/>
            <w:vAlign w:val="center"/>
          </w:tcPr>
          <w:p w14:paraId="7C148D9B">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杭州意能电力技术有限公司、国网浙江省电力有限公司电力科学研究院</w:t>
            </w:r>
          </w:p>
        </w:tc>
        <w:tc>
          <w:tcPr>
            <w:tcW w:w="1664" w:type="dxa"/>
            <w:shd w:val="clear" w:color="auto" w:fill="auto"/>
            <w:vAlign w:val="center"/>
          </w:tcPr>
          <w:p w14:paraId="5C368870">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丁伟聪、张新胜、苏烨、宋佳辉、夏晋、丁宁</w:t>
            </w:r>
          </w:p>
        </w:tc>
      </w:tr>
      <w:tr w14:paraId="64FAD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2269" w:type="dxa"/>
            <w:vMerge w:val="continue"/>
            <w:vAlign w:val="center"/>
          </w:tcPr>
          <w:p w14:paraId="49625917">
            <w:pPr>
              <w:spacing w:line="440" w:lineRule="exact"/>
              <w:jc w:val="left"/>
              <w:rPr>
                <w:rFonts w:eastAsia="仿宋_GB2312"/>
                <w:bCs/>
                <w:color w:val="auto"/>
                <w:sz w:val="24"/>
                <w:szCs w:val="24"/>
              </w:rPr>
            </w:pPr>
          </w:p>
        </w:tc>
        <w:tc>
          <w:tcPr>
            <w:tcW w:w="1528" w:type="dxa"/>
            <w:shd w:val="clear" w:color="auto" w:fill="auto"/>
            <w:vAlign w:val="center"/>
          </w:tcPr>
          <w:p w14:paraId="37B40CF9">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一种基于自治对象的火电机组风烟系统自启动控制方法</w:t>
            </w:r>
          </w:p>
        </w:tc>
        <w:tc>
          <w:tcPr>
            <w:tcW w:w="1110" w:type="dxa"/>
            <w:shd w:val="clear" w:color="auto" w:fill="auto"/>
            <w:vAlign w:val="center"/>
          </w:tcPr>
          <w:p w14:paraId="3EBDBA42">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ZL202110673696.4</w:t>
            </w:r>
          </w:p>
        </w:tc>
        <w:tc>
          <w:tcPr>
            <w:tcW w:w="1935" w:type="dxa"/>
            <w:shd w:val="clear" w:color="auto" w:fill="auto"/>
            <w:vAlign w:val="center"/>
          </w:tcPr>
          <w:p w14:paraId="4EC3A57E">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杭州意能电力技术有限公司、国网浙江省电力有限公司电力科学研究院</w:t>
            </w:r>
          </w:p>
        </w:tc>
        <w:tc>
          <w:tcPr>
            <w:tcW w:w="1664" w:type="dxa"/>
            <w:shd w:val="clear" w:color="auto" w:fill="auto"/>
            <w:vAlign w:val="center"/>
          </w:tcPr>
          <w:p w14:paraId="03AE54BD">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丁伟聪、胡欣、王剑平、张新胜、丁永君、苏烨、杨海滨、丁宁</w:t>
            </w:r>
          </w:p>
        </w:tc>
      </w:tr>
      <w:tr w14:paraId="233B2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2269" w:type="dxa"/>
            <w:vMerge w:val="continue"/>
            <w:vAlign w:val="center"/>
          </w:tcPr>
          <w:p w14:paraId="4576AE93">
            <w:pPr>
              <w:spacing w:line="440" w:lineRule="exact"/>
              <w:jc w:val="left"/>
              <w:rPr>
                <w:rFonts w:eastAsia="仿宋_GB2312"/>
                <w:bCs/>
                <w:color w:val="auto"/>
                <w:sz w:val="24"/>
                <w:szCs w:val="24"/>
              </w:rPr>
            </w:pPr>
          </w:p>
        </w:tc>
        <w:tc>
          <w:tcPr>
            <w:tcW w:w="1528" w:type="dxa"/>
            <w:shd w:val="clear" w:color="auto" w:fill="auto"/>
            <w:vAlign w:val="center"/>
          </w:tcPr>
          <w:p w14:paraId="44E283C8">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一种基于参数自适应提高暂态性能的燃煤机组汽包锅炉水位控制方法</w:t>
            </w:r>
          </w:p>
        </w:tc>
        <w:tc>
          <w:tcPr>
            <w:tcW w:w="1110" w:type="dxa"/>
            <w:shd w:val="clear" w:color="auto" w:fill="auto"/>
            <w:vAlign w:val="center"/>
          </w:tcPr>
          <w:p w14:paraId="5BA799C3">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ZL201911284050.6</w:t>
            </w:r>
          </w:p>
        </w:tc>
        <w:tc>
          <w:tcPr>
            <w:tcW w:w="1935" w:type="dxa"/>
            <w:shd w:val="clear" w:color="auto" w:fill="auto"/>
            <w:vAlign w:val="center"/>
          </w:tcPr>
          <w:p w14:paraId="7DB70211">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浙江省能源集团有限公司、浙江大学</w:t>
            </w:r>
          </w:p>
        </w:tc>
        <w:tc>
          <w:tcPr>
            <w:tcW w:w="1664" w:type="dxa"/>
            <w:shd w:val="clear" w:color="auto" w:fill="auto"/>
            <w:vAlign w:val="center"/>
          </w:tcPr>
          <w:p w14:paraId="7CF065F6">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杨秦敏、梁琪、陈积明、范海东、解剑波、李清毅</w:t>
            </w:r>
          </w:p>
        </w:tc>
      </w:tr>
      <w:tr w14:paraId="73574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2269" w:type="dxa"/>
            <w:vMerge w:val="continue"/>
            <w:vAlign w:val="center"/>
          </w:tcPr>
          <w:p w14:paraId="7A62D2CC">
            <w:pPr>
              <w:spacing w:line="440" w:lineRule="exact"/>
              <w:jc w:val="left"/>
              <w:rPr>
                <w:rFonts w:eastAsia="仿宋_GB2312"/>
                <w:bCs/>
                <w:color w:val="auto"/>
                <w:sz w:val="24"/>
                <w:szCs w:val="24"/>
              </w:rPr>
            </w:pPr>
          </w:p>
        </w:tc>
        <w:tc>
          <w:tcPr>
            <w:tcW w:w="1528" w:type="dxa"/>
            <w:shd w:val="clear" w:color="auto" w:fill="auto"/>
            <w:vAlign w:val="center"/>
          </w:tcPr>
          <w:p w14:paraId="2B0E0B41">
            <w:pPr>
              <w:jc w:val="center"/>
              <w:rPr>
                <w:rFonts w:hint="eastAsia" w:eastAsia="仿宋_GB2312"/>
                <w:color w:val="000000" w:themeColor="text1"/>
                <w:szCs w:val="21"/>
                <w:lang w:val="en-US" w:eastAsia="zh-CN"/>
                <w14:textFill>
                  <w14:solidFill>
                    <w14:schemeClr w14:val="tx1"/>
                  </w14:solidFill>
                </w14:textFill>
              </w:rPr>
            </w:pPr>
            <w:r>
              <w:rPr>
                <w:rFonts w:hint="default" w:eastAsia="仿宋_GB2312"/>
                <w:color w:val="000000" w:themeColor="text1"/>
                <w:szCs w:val="21"/>
                <w:lang w:val="en-US" w:eastAsia="en-US"/>
                <w14:textFill>
                  <w14:solidFill>
                    <w14:schemeClr w14:val="tx1"/>
                  </w14:solidFill>
                </w14:textFill>
              </w:rPr>
              <w:t>火力发电机组滑压运行曲线的多元函数实时优化方法、系统及介质</w:t>
            </w:r>
          </w:p>
        </w:tc>
        <w:tc>
          <w:tcPr>
            <w:tcW w:w="1110" w:type="dxa"/>
            <w:shd w:val="clear" w:color="auto" w:fill="auto"/>
            <w:vAlign w:val="center"/>
          </w:tcPr>
          <w:p w14:paraId="4457F606">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ZL201911094699.1</w:t>
            </w:r>
          </w:p>
        </w:tc>
        <w:tc>
          <w:tcPr>
            <w:tcW w:w="1935" w:type="dxa"/>
            <w:shd w:val="clear" w:color="auto" w:fill="auto"/>
            <w:vAlign w:val="center"/>
          </w:tcPr>
          <w:p w14:paraId="1D0B70EC">
            <w:pPr>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国网湖南省电力有限公司、国网湖南省电力有限公司电力科学研究院</w:t>
            </w:r>
          </w:p>
        </w:tc>
        <w:tc>
          <w:tcPr>
            <w:tcW w:w="1664" w:type="dxa"/>
            <w:shd w:val="clear" w:color="auto" w:fill="auto"/>
            <w:vAlign w:val="center"/>
          </w:tcPr>
          <w:p w14:paraId="1CB65528">
            <w:pPr>
              <w:jc w:val="center"/>
              <w:rPr>
                <w:rFonts w:hint="eastAsia" w:eastAsia="仿宋_GB2312"/>
                <w:color w:val="000000" w:themeColor="text1"/>
                <w:szCs w:val="21"/>
                <w:lang w:val="en-US" w:eastAsia="zh-CN"/>
                <w14:textFill>
                  <w14:solidFill>
                    <w14:schemeClr w14:val="tx1"/>
                  </w14:solidFill>
                </w14:textFill>
              </w:rPr>
            </w:pPr>
            <w:r>
              <w:rPr>
                <w:rFonts w:hint="default" w:eastAsia="仿宋_GB2312"/>
                <w:color w:val="000000" w:themeColor="text1"/>
                <w:szCs w:val="21"/>
                <w:lang w:val="en-US" w:eastAsia="en-US"/>
                <w14:textFill>
                  <w14:solidFill>
                    <w14:schemeClr w14:val="tx1"/>
                  </w14:solidFill>
                </w14:textFill>
              </w:rPr>
              <w:t>王志杰</w:t>
            </w:r>
            <w:r>
              <w:rPr>
                <w:rFonts w:hint="eastAsia" w:eastAsia="仿宋_GB2312"/>
                <w:color w:val="000000" w:themeColor="text1"/>
                <w:szCs w:val="21"/>
                <w:lang w:val="en-US" w:eastAsia="zh-CN"/>
                <w14:textFill>
                  <w14:solidFill>
                    <w14:schemeClr w14:val="tx1"/>
                  </w14:solidFill>
                </w14:textFill>
              </w:rPr>
              <w:t>、</w:t>
            </w:r>
            <w:r>
              <w:rPr>
                <w:rFonts w:hint="default" w:eastAsia="仿宋_GB2312"/>
                <w:color w:val="000000" w:themeColor="text1"/>
                <w:szCs w:val="21"/>
                <w:lang w:val="en-US" w:eastAsia="en-US"/>
                <w14:textFill>
                  <w14:solidFill>
                    <w14:schemeClr w14:val="tx1"/>
                  </w14:solidFill>
                </w14:textFill>
              </w:rPr>
              <w:t>张建玲</w:t>
            </w:r>
            <w:r>
              <w:rPr>
                <w:rFonts w:hint="eastAsia" w:eastAsia="仿宋_GB2312"/>
                <w:color w:val="000000" w:themeColor="text1"/>
                <w:szCs w:val="21"/>
                <w:lang w:val="en-US" w:eastAsia="zh-CN"/>
                <w14:textFill>
                  <w14:solidFill>
                    <w14:schemeClr w14:val="tx1"/>
                  </w14:solidFill>
                </w14:textFill>
              </w:rPr>
              <w:t>、</w:t>
            </w:r>
            <w:r>
              <w:rPr>
                <w:rFonts w:hint="default" w:eastAsia="仿宋_GB2312"/>
                <w:color w:val="000000" w:themeColor="text1"/>
                <w:szCs w:val="21"/>
                <w:lang w:val="en-US" w:eastAsia="en-US"/>
                <w14:textFill>
                  <w14:solidFill>
                    <w14:schemeClr w14:val="tx1"/>
                  </w14:solidFill>
                </w14:textFill>
              </w:rPr>
              <w:t>朱晓星</w:t>
            </w:r>
            <w:r>
              <w:rPr>
                <w:rFonts w:hint="eastAsia" w:eastAsia="仿宋_GB2312"/>
                <w:color w:val="000000" w:themeColor="text1"/>
                <w:szCs w:val="21"/>
                <w:lang w:val="en-US" w:eastAsia="zh-CN"/>
                <w14:textFill>
                  <w14:solidFill>
                    <w14:schemeClr w14:val="tx1"/>
                  </w14:solidFill>
                </w14:textFill>
              </w:rPr>
              <w:t>、</w:t>
            </w:r>
            <w:r>
              <w:rPr>
                <w:rFonts w:hint="default" w:eastAsia="仿宋_GB2312"/>
                <w:color w:val="000000" w:themeColor="text1"/>
                <w:szCs w:val="21"/>
                <w:lang w:val="en-US" w:eastAsia="en-US"/>
                <w14:textFill>
                  <w14:solidFill>
                    <w14:schemeClr w14:val="tx1"/>
                  </w14:solidFill>
                </w14:textFill>
              </w:rPr>
              <w:t>寻新</w:t>
            </w:r>
            <w:r>
              <w:rPr>
                <w:rFonts w:hint="eastAsia" w:eastAsia="仿宋_GB2312"/>
                <w:color w:val="000000" w:themeColor="text1"/>
                <w:szCs w:val="21"/>
                <w:lang w:val="en-US" w:eastAsia="zh-CN"/>
                <w14:textFill>
                  <w14:solidFill>
                    <w14:schemeClr w14:val="tx1"/>
                  </w14:solidFill>
                </w14:textFill>
              </w:rPr>
              <w:t>、</w:t>
            </w:r>
            <w:r>
              <w:rPr>
                <w:rFonts w:hint="default" w:eastAsia="仿宋_GB2312"/>
                <w:color w:val="000000" w:themeColor="text1"/>
                <w:szCs w:val="21"/>
                <w:lang w:val="en-US" w:eastAsia="en-US"/>
                <w14:textFill>
                  <w14:solidFill>
                    <w14:schemeClr w14:val="tx1"/>
                  </w14:solidFill>
                </w14:textFill>
              </w:rPr>
              <w:t>陈厚涛</w:t>
            </w:r>
          </w:p>
        </w:tc>
      </w:tr>
      <w:tr w14:paraId="53CF9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4D5E350F">
            <w:pPr>
              <w:spacing w:line="440" w:lineRule="exact"/>
              <w:jc w:val="center"/>
              <w:rPr>
                <w:rFonts w:eastAsia="仿宋_GB2312"/>
                <w:bCs/>
                <w:color w:val="auto"/>
                <w:sz w:val="28"/>
                <w:szCs w:val="24"/>
              </w:rPr>
            </w:pPr>
            <w:r>
              <w:rPr>
                <w:rFonts w:eastAsia="仿宋_GB2312"/>
                <w:bCs/>
                <w:color w:val="auto"/>
                <w:sz w:val="28"/>
                <w:szCs w:val="24"/>
              </w:rPr>
              <w:t>主要完成人</w:t>
            </w:r>
          </w:p>
        </w:tc>
        <w:tc>
          <w:tcPr>
            <w:tcW w:w="6237" w:type="dxa"/>
            <w:gridSpan w:val="4"/>
            <w:tcBorders>
              <w:left w:val="single" w:color="auto" w:sz="4" w:space="0"/>
            </w:tcBorders>
            <w:vAlign w:val="center"/>
          </w:tcPr>
          <w:p w14:paraId="7194EE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仿宋_GB2312"/>
                <w:sz w:val="24"/>
                <w:szCs w:val="24"/>
                <w:lang w:val="en-US" w:eastAsia="zh-CN"/>
              </w:rPr>
            </w:pPr>
            <w:r>
              <w:rPr>
                <w:rFonts w:hint="eastAsia" w:eastAsia="仿宋_GB2312"/>
                <w:sz w:val="24"/>
                <w:szCs w:val="24"/>
                <w:lang w:val="en-US" w:eastAsia="zh-CN"/>
              </w:rPr>
              <w:t>张江丰，排名1，高级工程师，国网浙江省电力有限公司电力科学研究院；</w:t>
            </w:r>
          </w:p>
          <w:p w14:paraId="20A09B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仿宋_GB2312"/>
                <w:sz w:val="24"/>
                <w:szCs w:val="24"/>
                <w:lang w:val="en-US" w:eastAsia="zh-CN"/>
              </w:rPr>
            </w:pPr>
            <w:r>
              <w:rPr>
                <w:rFonts w:hint="eastAsia" w:eastAsia="仿宋_GB2312"/>
                <w:sz w:val="24"/>
                <w:szCs w:val="24"/>
                <w:lang w:val="en-US" w:eastAsia="zh-CN"/>
              </w:rPr>
              <w:t>张新胜，排名2，高级工程师，国网浙江省电力有限公司电力科学研究院；</w:t>
            </w:r>
          </w:p>
          <w:p w14:paraId="6B89B1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仿宋_GB2312"/>
                <w:sz w:val="24"/>
                <w:szCs w:val="24"/>
                <w:lang w:val="en-US" w:eastAsia="zh-CN"/>
              </w:rPr>
            </w:pPr>
            <w:r>
              <w:rPr>
                <w:rFonts w:hint="eastAsia" w:eastAsia="仿宋_GB2312"/>
                <w:sz w:val="24"/>
                <w:szCs w:val="24"/>
                <w:lang w:val="en-US" w:eastAsia="zh-CN"/>
              </w:rPr>
              <w:t>杨秦敏，排名3，教授，浙江大学；</w:t>
            </w:r>
          </w:p>
          <w:p w14:paraId="7C9BEA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仿宋_GB2312"/>
                <w:sz w:val="24"/>
                <w:szCs w:val="24"/>
                <w:lang w:val="en-US" w:eastAsia="zh-CN"/>
              </w:rPr>
            </w:pPr>
            <w:r>
              <w:rPr>
                <w:rFonts w:hint="eastAsia" w:eastAsia="仿宋_GB2312"/>
                <w:sz w:val="24"/>
                <w:szCs w:val="24"/>
                <w:lang w:val="en-US" w:eastAsia="zh-CN"/>
              </w:rPr>
              <w:t>王志杰，排名4，教授级高级工程师，国网湖南省电力有限公司电力科学研究院；</w:t>
            </w:r>
          </w:p>
          <w:p w14:paraId="2E4CE5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仿宋_GB2312"/>
                <w:sz w:val="24"/>
                <w:szCs w:val="24"/>
                <w:lang w:val="en-US" w:eastAsia="zh-CN"/>
              </w:rPr>
            </w:pPr>
            <w:r>
              <w:rPr>
                <w:rFonts w:hint="eastAsia" w:eastAsia="仿宋_GB2312"/>
                <w:sz w:val="24"/>
                <w:szCs w:val="24"/>
                <w:lang w:val="en-US" w:eastAsia="zh-CN"/>
              </w:rPr>
              <w:t>丁伟聪，排名5，工程师，国网浙江省电力有限公司电力科学研究院；</w:t>
            </w:r>
          </w:p>
          <w:p w14:paraId="2A0317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仿宋_GB2312"/>
                <w:sz w:val="24"/>
                <w:szCs w:val="24"/>
                <w:lang w:val="en-US" w:eastAsia="zh-CN"/>
              </w:rPr>
            </w:pPr>
            <w:r>
              <w:rPr>
                <w:rFonts w:hint="eastAsia" w:eastAsia="仿宋_GB2312"/>
                <w:sz w:val="24"/>
                <w:szCs w:val="24"/>
                <w:lang w:val="en-US" w:eastAsia="zh-CN"/>
              </w:rPr>
              <w:t>卢敏，排名6，高级工程师，国网浙江省电力有限公司；</w:t>
            </w:r>
          </w:p>
          <w:p w14:paraId="4F5B63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仿宋_GB2312"/>
                <w:sz w:val="24"/>
                <w:szCs w:val="24"/>
                <w:lang w:val="en-US" w:eastAsia="zh-CN"/>
              </w:rPr>
            </w:pPr>
            <w:r>
              <w:rPr>
                <w:rFonts w:hint="eastAsia" w:eastAsia="仿宋_GB2312"/>
                <w:sz w:val="24"/>
                <w:szCs w:val="24"/>
                <w:lang w:val="en-US" w:eastAsia="zh-CN"/>
              </w:rPr>
              <w:t>尹峰，排名7，教授高级工程师，浙江省白马湖实验室有限公司；</w:t>
            </w:r>
          </w:p>
          <w:p w14:paraId="43B598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仿宋_GB2312"/>
                <w:sz w:val="24"/>
                <w:szCs w:val="24"/>
                <w:lang w:val="en-US" w:eastAsia="zh-CN"/>
              </w:rPr>
            </w:pPr>
            <w:r>
              <w:rPr>
                <w:rFonts w:hint="eastAsia" w:eastAsia="仿宋_GB2312"/>
                <w:sz w:val="24"/>
                <w:szCs w:val="24"/>
                <w:lang w:val="en-US" w:eastAsia="zh-CN"/>
              </w:rPr>
              <w:t>孙坚栋，排名8，高级工程师，</w:t>
            </w:r>
            <w:r>
              <w:rPr>
                <w:rFonts w:hint="default" w:eastAsia="仿宋_GB2312"/>
                <w:sz w:val="24"/>
                <w:szCs w:val="24"/>
                <w:lang w:val="en-US" w:eastAsia="zh-CN"/>
              </w:rPr>
              <w:t>杭州意能电力技术有限公司</w:t>
            </w:r>
            <w:r>
              <w:rPr>
                <w:rFonts w:hint="eastAsia" w:eastAsia="仿宋_GB2312"/>
                <w:sz w:val="24"/>
                <w:szCs w:val="24"/>
                <w:lang w:val="en-US" w:eastAsia="zh-CN"/>
              </w:rPr>
              <w:t>；</w:t>
            </w:r>
          </w:p>
          <w:p w14:paraId="43A240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仿宋_GB2312"/>
                <w:sz w:val="24"/>
                <w:szCs w:val="24"/>
                <w:lang w:val="en-US" w:eastAsia="zh-CN"/>
              </w:rPr>
            </w:pPr>
            <w:r>
              <w:rPr>
                <w:rFonts w:hint="eastAsia" w:eastAsia="仿宋_GB2312"/>
                <w:sz w:val="24"/>
                <w:szCs w:val="24"/>
                <w:lang w:val="en-US" w:eastAsia="zh-CN"/>
              </w:rPr>
              <w:t>曹越，排名9，副教授，东南大学；</w:t>
            </w:r>
          </w:p>
          <w:p w14:paraId="4C31E9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仿宋_GB2312"/>
                <w:sz w:val="24"/>
                <w:szCs w:val="24"/>
                <w:lang w:val="en-US" w:eastAsia="zh-CN"/>
              </w:rPr>
            </w:pPr>
            <w:r>
              <w:rPr>
                <w:rFonts w:hint="eastAsia" w:eastAsia="仿宋_GB2312"/>
                <w:sz w:val="24"/>
                <w:szCs w:val="24"/>
                <w:lang w:val="en-US" w:eastAsia="zh-CN"/>
              </w:rPr>
              <w:t>王天宇，排名10，高级工程师，国网浙江省电力有限公司电力科学研究院；</w:t>
            </w:r>
          </w:p>
          <w:p w14:paraId="5A74011E">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sz w:val="24"/>
                <w:szCs w:val="24"/>
              </w:rPr>
            </w:pPr>
            <w:r>
              <w:rPr>
                <w:rFonts w:hint="eastAsia" w:eastAsia="仿宋_GB2312"/>
                <w:sz w:val="24"/>
                <w:szCs w:val="24"/>
              </w:rPr>
              <w:t>吴继平</w:t>
            </w:r>
            <w:r>
              <w:rPr>
                <w:rFonts w:eastAsia="仿宋_GB2312"/>
                <w:sz w:val="24"/>
                <w:szCs w:val="24"/>
              </w:rPr>
              <w:t>，排名</w:t>
            </w:r>
            <w:r>
              <w:rPr>
                <w:rFonts w:hint="eastAsia" w:eastAsia="仿宋_GB2312"/>
                <w:sz w:val="24"/>
                <w:szCs w:val="24"/>
                <w:lang w:val="en-US" w:eastAsia="zh-CN"/>
              </w:rPr>
              <w:t>11</w:t>
            </w:r>
            <w:r>
              <w:rPr>
                <w:rFonts w:eastAsia="仿宋_GB2312"/>
                <w:sz w:val="24"/>
                <w:szCs w:val="24"/>
              </w:rPr>
              <w:t>，</w:t>
            </w:r>
            <w:r>
              <w:rPr>
                <w:rFonts w:hint="eastAsia" w:eastAsia="仿宋_GB2312"/>
                <w:sz w:val="24"/>
                <w:szCs w:val="24"/>
              </w:rPr>
              <w:t>高级工程师</w:t>
            </w:r>
            <w:r>
              <w:rPr>
                <w:rFonts w:eastAsia="仿宋_GB2312"/>
                <w:sz w:val="24"/>
                <w:szCs w:val="24"/>
              </w:rPr>
              <w:t>，</w:t>
            </w:r>
            <w:r>
              <w:rPr>
                <w:rFonts w:hint="eastAsia" w:eastAsia="仿宋_GB2312"/>
                <w:sz w:val="24"/>
                <w:szCs w:val="24"/>
              </w:rPr>
              <w:t>国电南瑞科技股份有限公司</w:t>
            </w:r>
            <w:r>
              <w:rPr>
                <w:rFonts w:eastAsia="仿宋_GB2312"/>
                <w:sz w:val="24"/>
                <w:szCs w:val="24"/>
              </w:rPr>
              <w:t>；</w:t>
            </w:r>
          </w:p>
          <w:p w14:paraId="38BE4D9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仿宋_GB2312"/>
                <w:bCs/>
                <w:color w:val="auto"/>
                <w:sz w:val="24"/>
                <w:szCs w:val="24"/>
                <w:lang w:val="en-US" w:eastAsia="zh-CN"/>
              </w:rPr>
            </w:pPr>
            <w:r>
              <w:rPr>
                <w:rFonts w:hint="eastAsia" w:eastAsia="仿宋_GB2312"/>
                <w:bCs/>
                <w:color w:val="auto"/>
                <w:sz w:val="24"/>
                <w:szCs w:val="24"/>
                <w:lang w:val="en-US" w:eastAsia="zh-CN"/>
              </w:rPr>
              <w:t>丁宁，</w:t>
            </w:r>
            <w:r>
              <w:rPr>
                <w:rFonts w:hint="eastAsia" w:eastAsia="仿宋_GB2312"/>
                <w:sz w:val="24"/>
                <w:szCs w:val="24"/>
                <w:lang w:val="en-US" w:eastAsia="zh-CN"/>
              </w:rPr>
              <w:t>排名12，高级工程师，国网浙江省电力有限公司电力科学研究院；</w:t>
            </w:r>
          </w:p>
          <w:p w14:paraId="42B940C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仿宋_GB2312"/>
                <w:bCs/>
                <w:color w:val="auto"/>
                <w:sz w:val="24"/>
                <w:szCs w:val="24"/>
                <w:lang w:val="en-US" w:eastAsia="zh-CN"/>
              </w:rPr>
            </w:pPr>
            <w:r>
              <w:rPr>
                <w:rFonts w:hint="eastAsia" w:eastAsia="仿宋_GB2312"/>
                <w:bCs/>
                <w:color w:val="auto"/>
                <w:sz w:val="24"/>
                <w:szCs w:val="24"/>
                <w:lang w:val="en-US" w:eastAsia="zh-CN"/>
              </w:rPr>
              <w:t>郑可轲，</w:t>
            </w:r>
            <w:r>
              <w:rPr>
                <w:rFonts w:hint="eastAsia" w:eastAsia="仿宋_GB2312"/>
                <w:sz w:val="24"/>
                <w:szCs w:val="24"/>
                <w:lang w:val="en-US" w:eastAsia="zh-CN"/>
              </w:rPr>
              <w:t>排名13，工程师，国网浙江省电力有限公司电力科学研究院。</w:t>
            </w:r>
          </w:p>
        </w:tc>
      </w:tr>
      <w:tr w14:paraId="655DA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0DA129B7">
            <w:pPr>
              <w:spacing w:line="440" w:lineRule="exact"/>
              <w:jc w:val="center"/>
              <w:rPr>
                <w:rFonts w:eastAsia="仿宋"/>
                <w:bCs/>
                <w:color w:val="auto"/>
                <w:sz w:val="24"/>
                <w:szCs w:val="24"/>
              </w:rPr>
            </w:pPr>
            <w:r>
              <w:rPr>
                <w:rFonts w:eastAsia="仿宋"/>
                <w:bCs/>
                <w:color w:val="auto"/>
                <w:sz w:val="28"/>
                <w:szCs w:val="24"/>
              </w:rPr>
              <w:t>主要完成单位</w:t>
            </w:r>
          </w:p>
        </w:tc>
        <w:tc>
          <w:tcPr>
            <w:tcW w:w="6237" w:type="dxa"/>
            <w:gridSpan w:val="4"/>
            <w:tcBorders>
              <w:left w:val="single" w:color="auto" w:sz="4" w:space="0"/>
            </w:tcBorders>
            <w:vAlign w:val="center"/>
          </w:tcPr>
          <w:p w14:paraId="16CFF0F1">
            <w:pPr>
              <w:spacing w:line="440" w:lineRule="exact"/>
              <w:jc w:val="left"/>
              <w:rPr>
                <w:rFonts w:hint="eastAsia" w:eastAsia="仿宋_GB2312"/>
                <w:bCs/>
                <w:color w:val="auto"/>
                <w:sz w:val="24"/>
                <w:szCs w:val="24"/>
                <w:lang w:val="en-US" w:eastAsia="zh-CN"/>
              </w:rPr>
            </w:pPr>
            <w:r>
              <w:rPr>
                <w:rFonts w:hint="eastAsia" w:eastAsia="仿宋_GB2312"/>
                <w:bCs/>
                <w:color w:val="auto"/>
                <w:sz w:val="24"/>
                <w:szCs w:val="24"/>
                <w:lang w:val="en-US" w:eastAsia="zh-CN"/>
              </w:rPr>
              <w:t>1.国网浙江省电力有限公司电力科学研究院</w:t>
            </w:r>
          </w:p>
          <w:p w14:paraId="4ACCA0E5">
            <w:pPr>
              <w:spacing w:line="440" w:lineRule="exact"/>
              <w:jc w:val="left"/>
              <w:rPr>
                <w:rFonts w:hint="eastAsia" w:eastAsia="仿宋_GB2312"/>
                <w:bCs/>
                <w:color w:val="auto"/>
                <w:sz w:val="24"/>
                <w:szCs w:val="24"/>
                <w:lang w:val="en-US" w:eastAsia="zh-CN"/>
              </w:rPr>
            </w:pPr>
            <w:r>
              <w:rPr>
                <w:rFonts w:hint="eastAsia" w:eastAsia="仿宋_GB2312"/>
                <w:bCs/>
                <w:color w:val="auto"/>
                <w:sz w:val="24"/>
                <w:szCs w:val="24"/>
                <w:lang w:val="en-US" w:eastAsia="zh-CN"/>
              </w:rPr>
              <w:t>2.浙江大学</w:t>
            </w:r>
          </w:p>
          <w:p w14:paraId="0802ECEE">
            <w:pPr>
              <w:spacing w:line="440" w:lineRule="exact"/>
              <w:jc w:val="left"/>
              <w:rPr>
                <w:rFonts w:hint="eastAsia" w:eastAsia="仿宋_GB2312"/>
                <w:bCs/>
                <w:color w:val="auto"/>
                <w:sz w:val="24"/>
                <w:szCs w:val="24"/>
                <w:lang w:val="en-US" w:eastAsia="zh-CN"/>
              </w:rPr>
            </w:pPr>
            <w:r>
              <w:rPr>
                <w:rFonts w:hint="eastAsia" w:eastAsia="仿宋_GB2312"/>
                <w:bCs/>
                <w:color w:val="auto"/>
                <w:sz w:val="24"/>
                <w:szCs w:val="24"/>
                <w:lang w:val="en-US" w:eastAsia="zh-CN"/>
              </w:rPr>
              <w:t>3.浙江省白马湖实验室有限公司</w:t>
            </w:r>
          </w:p>
          <w:p w14:paraId="3B49A815">
            <w:pPr>
              <w:spacing w:line="440" w:lineRule="exact"/>
              <w:jc w:val="left"/>
              <w:rPr>
                <w:rFonts w:hint="eastAsia" w:eastAsia="仿宋_GB2312"/>
                <w:bCs/>
                <w:color w:val="auto"/>
                <w:sz w:val="24"/>
                <w:szCs w:val="24"/>
                <w:lang w:val="en-US" w:eastAsia="zh-CN"/>
              </w:rPr>
            </w:pPr>
            <w:r>
              <w:rPr>
                <w:rFonts w:hint="eastAsia" w:eastAsia="仿宋_GB2312"/>
                <w:bCs/>
                <w:color w:val="auto"/>
                <w:sz w:val="24"/>
                <w:szCs w:val="24"/>
                <w:lang w:val="en-US" w:eastAsia="zh-CN"/>
              </w:rPr>
              <w:t>4.国网湖南省电力有限公司电力科学研究院</w:t>
            </w:r>
          </w:p>
          <w:p w14:paraId="2B941A90">
            <w:pPr>
              <w:spacing w:line="440" w:lineRule="exact"/>
              <w:jc w:val="left"/>
              <w:rPr>
                <w:rFonts w:hint="eastAsia" w:eastAsia="仿宋_GB2312"/>
                <w:bCs/>
                <w:color w:val="auto"/>
                <w:sz w:val="24"/>
                <w:szCs w:val="24"/>
                <w:lang w:val="en-US" w:eastAsia="zh-CN"/>
              </w:rPr>
            </w:pPr>
            <w:r>
              <w:rPr>
                <w:rFonts w:hint="eastAsia" w:eastAsia="仿宋_GB2312"/>
                <w:bCs/>
                <w:color w:val="auto"/>
                <w:sz w:val="24"/>
                <w:szCs w:val="24"/>
                <w:lang w:val="en-US" w:eastAsia="zh-CN"/>
              </w:rPr>
              <w:t>5.东南大学</w:t>
            </w:r>
          </w:p>
          <w:p w14:paraId="4DD7C58B">
            <w:pPr>
              <w:spacing w:line="440" w:lineRule="exact"/>
              <w:jc w:val="left"/>
              <w:rPr>
                <w:rFonts w:hint="eastAsia" w:eastAsia="仿宋_GB2312"/>
                <w:bCs/>
                <w:color w:val="auto"/>
                <w:sz w:val="24"/>
                <w:szCs w:val="24"/>
                <w:lang w:val="en-US" w:eastAsia="zh-CN"/>
              </w:rPr>
            </w:pPr>
            <w:r>
              <w:rPr>
                <w:rFonts w:hint="eastAsia" w:eastAsia="仿宋_GB2312"/>
                <w:bCs/>
                <w:color w:val="auto"/>
                <w:sz w:val="24"/>
                <w:szCs w:val="24"/>
                <w:lang w:val="en-US" w:eastAsia="zh-CN"/>
              </w:rPr>
              <w:t>6.</w:t>
            </w:r>
            <w:r>
              <w:rPr>
                <w:rFonts w:hint="default" w:eastAsia="仿宋_GB2312"/>
                <w:bCs/>
                <w:color w:val="auto"/>
                <w:sz w:val="24"/>
                <w:szCs w:val="24"/>
                <w:lang w:val="en-US" w:eastAsia="zh-CN"/>
              </w:rPr>
              <w:t>国电南瑞科技股份有限公司</w:t>
            </w:r>
          </w:p>
          <w:p w14:paraId="49FB73E7">
            <w:pPr>
              <w:spacing w:line="440" w:lineRule="exact"/>
              <w:jc w:val="left"/>
              <w:rPr>
                <w:rFonts w:hint="eastAsia" w:eastAsia="仿宋_GB2312"/>
                <w:bCs/>
                <w:color w:val="auto"/>
                <w:sz w:val="24"/>
                <w:szCs w:val="24"/>
                <w:lang w:val="en-US" w:eastAsia="zh-CN"/>
              </w:rPr>
            </w:pPr>
            <w:r>
              <w:rPr>
                <w:rFonts w:hint="eastAsia" w:eastAsia="仿宋_GB2312"/>
                <w:bCs/>
                <w:color w:val="auto"/>
                <w:sz w:val="24"/>
                <w:szCs w:val="24"/>
                <w:lang w:val="en-US" w:eastAsia="zh-CN"/>
              </w:rPr>
              <w:t>7.</w:t>
            </w:r>
            <w:r>
              <w:rPr>
                <w:rFonts w:hint="default" w:eastAsia="仿宋_GB2312"/>
                <w:bCs/>
                <w:color w:val="auto"/>
                <w:sz w:val="24"/>
                <w:szCs w:val="24"/>
                <w:lang w:val="en-US" w:eastAsia="zh-CN"/>
              </w:rPr>
              <w:t>杭州意能电力技术有限公司</w:t>
            </w:r>
          </w:p>
        </w:tc>
      </w:tr>
      <w:tr w14:paraId="4BFDC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333EAE39">
            <w:pPr>
              <w:jc w:val="center"/>
              <w:rPr>
                <w:rStyle w:val="7"/>
                <w:rFonts w:eastAsia="仿宋_GB2312"/>
                <w:b w:val="0"/>
                <w:color w:val="auto"/>
                <w:sz w:val="28"/>
                <w:szCs w:val="28"/>
              </w:rPr>
            </w:pPr>
            <w:r>
              <w:rPr>
                <w:rStyle w:val="7"/>
                <w:rFonts w:eastAsia="仿宋_GB2312"/>
                <w:b w:val="0"/>
                <w:color w:val="auto"/>
                <w:sz w:val="28"/>
                <w:szCs w:val="28"/>
              </w:rPr>
              <w:t>提名单位</w:t>
            </w:r>
          </w:p>
        </w:tc>
        <w:tc>
          <w:tcPr>
            <w:tcW w:w="6237" w:type="dxa"/>
            <w:gridSpan w:val="4"/>
            <w:vAlign w:val="center"/>
          </w:tcPr>
          <w:p w14:paraId="718BDE4C">
            <w:pPr>
              <w:spacing w:line="440" w:lineRule="exact"/>
              <w:jc w:val="center"/>
              <w:rPr>
                <w:rStyle w:val="7"/>
                <w:rFonts w:hint="default" w:eastAsia="宋体"/>
                <w:b w:val="0"/>
                <w:color w:val="auto"/>
                <w:lang w:val="en-US" w:eastAsia="zh-CN"/>
              </w:rPr>
            </w:pPr>
            <w:r>
              <w:rPr>
                <w:rFonts w:hint="eastAsia" w:eastAsia="仿宋_GB2312"/>
                <w:bCs/>
                <w:color w:val="auto"/>
                <w:sz w:val="24"/>
                <w:szCs w:val="24"/>
                <w:lang w:val="en-US" w:eastAsia="zh-CN"/>
              </w:rPr>
              <w:t>浙江省电力学会</w:t>
            </w:r>
          </w:p>
        </w:tc>
      </w:tr>
      <w:tr w14:paraId="214E4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3" w:hRule="atLeast"/>
        </w:trPr>
        <w:tc>
          <w:tcPr>
            <w:tcW w:w="2269" w:type="dxa"/>
            <w:vAlign w:val="center"/>
          </w:tcPr>
          <w:p w14:paraId="3BD2AA20">
            <w:pPr>
              <w:jc w:val="center"/>
              <w:rPr>
                <w:rStyle w:val="7"/>
                <w:rFonts w:eastAsia="仿宋_GB2312"/>
                <w:b w:val="0"/>
                <w:color w:val="auto"/>
                <w:sz w:val="28"/>
                <w:szCs w:val="28"/>
              </w:rPr>
            </w:pPr>
            <w:r>
              <w:rPr>
                <w:rStyle w:val="7"/>
                <w:rFonts w:eastAsia="仿宋_GB2312"/>
                <w:b w:val="0"/>
                <w:color w:val="auto"/>
                <w:sz w:val="28"/>
                <w:szCs w:val="28"/>
              </w:rPr>
              <w:t>提名意见</w:t>
            </w:r>
          </w:p>
        </w:tc>
        <w:tc>
          <w:tcPr>
            <w:tcW w:w="6237" w:type="dxa"/>
            <w:gridSpan w:val="4"/>
            <w:vAlign w:val="center"/>
          </w:tcPr>
          <w:p w14:paraId="382B7067">
            <w:pPr>
              <w:keepNext w:val="0"/>
              <w:keepLines w:val="0"/>
              <w:pageBreakBefore w:val="0"/>
              <w:widowControl w:val="0"/>
              <w:kinsoku/>
              <w:wordWrap/>
              <w:overflowPunct/>
              <w:topLinePunct w:val="0"/>
              <w:autoSpaceDE/>
              <w:autoSpaceDN/>
              <w:bidi w:val="0"/>
              <w:adjustRightInd/>
              <w:snapToGrid/>
              <w:ind w:firstLine="480" w:firstLineChars="200"/>
              <w:contextualSpacing/>
              <w:jc w:val="both"/>
              <w:textAlignment w:val="auto"/>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kern w:val="2"/>
                <w:sz w:val="24"/>
                <w:szCs w:val="24"/>
                <w:lang w:val="en-US" w:eastAsia="zh-CN" w:bidi="ar-SA"/>
              </w:rPr>
              <w:t>该项目围绕新型电力系统建设需求，一方面针对火电机组灵活调峰的更高要求，提出了一种基于规划运行层和对象任务层的快速自启停控制架构，并采用面向对象的设计方法，开发实现了全程自动控制策略，解决了自启停控制系统无法全程自适应投运问题；另一方面，计及新能源、储能、地调调管灵活资源在调频响应特性、时空分布特征和安全约束等方面差异，提出了多种资源、多时间尺度联合协调互补控制方法，实现了新能源、储能等灵活资源有效利用；在此基础上，</w:t>
            </w:r>
            <w:r>
              <w:rPr>
                <w:rFonts w:hint="eastAsia" w:eastAsia="仿宋_GB2312" w:cs="Times New Roman"/>
                <w:bCs/>
                <w:kern w:val="2"/>
                <w:sz w:val="24"/>
                <w:szCs w:val="24"/>
                <w:lang w:val="en-US" w:eastAsia="zh-CN" w:bidi="ar-SA"/>
              </w:rPr>
              <w:t>进一步</w:t>
            </w:r>
            <w:r>
              <w:rPr>
                <w:rFonts w:hint="eastAsia" w:ascii="Times New Roman" w:hAnsi="Times New Roman" w:eastAsia="仿宋_GB2312" w:cs="Times New Roman"/>
                <w:bCs/>
                <w:kern w:val="2"/>
                <w:sz w:val="24"/>
                <w:szCs w:val="24"/>
                <w:lang w:val="en-US" w:eastAsia="zh-CN" w:bidi="ar-SA"/>
              </w:rPr>
              <w:t>构建多层级有功协同控制架构，实现了常规机组与新型调节资源实时响应、省地两级统一调频、断面安全及新能源优先消纳等多场景的协同控制需求。该项目形成了一批具有自主知识产权的技术成果，构建起集理论、技术和装备于一体的系列创新成果，为新型电力系统的频率稳定与电力平衡、火电机组灵活性运行控制提供了可借鉴的解决方案和典型样板。</w:t>
            </w:r>
          </w:p>
          <w:p w14:paraId="31C4FE41">
            <w:pPr>
              <w:keepNext w:val="0"/>
              <w:keepLines w:val="0"/>
              <w:pageBreakBefore w:val="0"/>
              <w:widowControl w:val="0"/>
              <w:kinsoku/>
              <w:wordWrap/>
              <w:overflowPunct/>
              <w:topLinePunct w:val="0"/>
              <w:autoSpaceDE/>
              <w:autoSpaceDN/>
              <w:bidi w:val="0"/>
              <w:adjustRightInd/>
              <w:snapToGrid/>
              <w:ind w:firstLine="480" w:firstLineChars="200"/>
              <w:contextualSpacing/>
              <w:jc w:val="both"/>
              <w:textAlignment w:val="auto"/>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kern w:val="2"/>
                <w:sz w:val="24"/>
                <w:szCs w:val="24"/>
                <w:lang w:val="en-US" w:eastAsia="zh-CN" w:bidi="ar-SA"/>
              </w:rPr>
              <w:t>该项目成果已在国调中心、国网浙江</w:t>
            </w:r>
            <w:r>
              <w:rPr>
                <w:rFonts w:hint="eastAsia" w:eastAsia="仿宋_GB2312" w:cs="Times New Roman"/>
                <w:bCs/>
                <w:kern w:val="2"/>
                <w:sz w:val="24"/>
                <w:szCs w:val="24"/>
                <w:lang w:val="en-US" w:eastAsia="zh-CN" w:bidi="ar-SA"/>
              </w:rPr>
              <w:t>省</w:t>
            </w:r>
            <w:r>
              <w:rPr>
                <w:rFonts w:hint="eastAsia" w:ascii="Times New Roman" w:hAnsi="Times New Roman" w:eastAsia="仿宋_GB2312" w:cs="Times New Roman"/>
                <w:bCs/>
                <w:kern w:val="2"/>
                <w:sz w:val="24"/>
                <w:szCs w:val="24"/>
                <w:lang w:val="en-US" w:eastAsia="zh-CN" w:bidi="ar-SA"/>
              </w:rPr>
              <w:t>公司及</w:t>
            </w:r>
            <w:r>
              <w:rPr>
                <w:rFonts w:hint="eastAsia" w:eastAsia="仿宋_GB2312" w:cs="Times New Roman"/>
                <w:bCs/>
                <w:kern w:val="2"/>
                <w:sz w:val="24"/>
                <w:szCs w:val="24"/>
                <w:lang w:val="en-US" w:eastAsia="zh-CN" w:bidi="ar-SA"/>
              </w:rPr>
              <w:t>其</w:t>
            </w:r>
            <w:r>
              <w:rPr>
                <w:rFonts w:hint="eastAsia" w:ascii="Times New Roman" w:hAnsi="Times New Roman" w:eastAsia="仿宋_GB2312" w:cs="Times New Roman"/>
                <w:bCs/>
                <w:kern w:val="2"/>
                <w:sz w:val="24"/>
                <w:szCs w:val="24"/>
                <w:lang w:val="en-US" w:eastAsia="zh-CN" w:bidi="ar-SA"/>
              </w:rPr>
              <w:t>11个地市公司以及浙能台二、印尼爪哇电厂等20余台大型火电机组落地，整体取得了显著的社会经济效益。</w:t>
            </w:r>
          </w:p>
          <w:p w14:paraId="590BAF7B">
            <w:pPr>
              <w:keepNext w:val="0"/>
              <w:keepLines w:val="0"/>
              <w:pageBreakBefore w:val="0"/>
              <w:widowControl w:val="0"/>
              <w:kinsoku/>
              <w:wordWrap/>
              <w:overflowPunct/>
              <w:topLinePunct w:val="0"/>
              <w:autoSpaceDE/>
              <w:autoSpaceDN/>
              <w:bidi w:val="0"/>
              <w:adjustRightInd/>
              <w:snapToGrid/>
              <w:ind w:firstLine="480" w:firstLineChars="200"/>
              <w:contextualSpacing/>
              <w:jc w:val="both"/>
              <w:textAlignment w:val="auto"/>
              <w:rPr>
                <w:rStyle w:val="7"/>
                <w:b w:val="0"/>
                <w:color w:val="auto"/>
              </w:rPr>
            </w:pPr>
            <w:r>
              <w:rPr>
                <w:rFonts w:hint="eastAsia" w:ascii="仿宋_GB2312" w:hAnsi="仿宋_GB2312" w:eastAsia="仿宋_GB2312" w:cs="仿宋_GB2312"/>
                <w:sz w:val="24"/>
                <w:szCs w:val="22"/>
              </w:rPr>
              <w:t>提名该成果为省科学技术进步奖</w:t>
            </w:r>
            <w:r>
              <w:rPr>
                <w:rFonts w:hint="eastAsia" w:ascii="仿宋_GB2312" w:hAnsi="仿宋_GB2312" w:eastAsia="仿宋_GB2312" w:cs="仿宋_GB2312"/>
                <w:sz w:val="24"/>
                <w:szCs w:val="22"/>
                <w:u w:val="single"/>
              </w:rPr>
              <w:t>一等奖</w:t>
            </w:r>
            <w:r>
              <w:rPr>
                <w:rFonts w:hint="eastAsia" w:ascii="仿宋_GB2312" w:hAnsi="仿宋_GB2312" w:eastAsia="仿宋_GB2312" w:cs="仿宋_GB2312"/>
                <w:sz w:val="24"/>
                <w:szCs w:val="22"/>
              </w:rPr>
              <w:t>。</w:t>
            </w:r>
          </w:p>
        </w:tc>
      </w:tr>
    </w:tbl>
    <w:p w14:paraId="4686ED1F">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embedRegular r:id="rId1" w:fontKey="{490231D5-1550-4C85-86E5-B3B78D36BBB6}"/>
  </w:font>
  <w:font w:name="仿宋_GB2312">
    <w:panose1 w:val="02010609030101010101"/>
    <w:charset w:val="86"/>
    <w:family w:val="modern"/>
    <w:pitch w:val="default"/>
    <w:sig w:usb0="00000001" w:usb1="080E0000" w:usb2="00000000" w:usb3="00000000" w:csb0="00040000" w:csb1="00000000"/>
    <w:embedRegular r:id="rId2" w:fontKey="{0F9B914A-C0FB-4142-A6A9-2688A4B79A40}"/>
  </w:font>
  <w:font w:name="仿宋">
    <w:panose1 w:val="02010609060101010101"/>
    <w:charset w:val="86"/>
    <w:family w:val="auto"/>
    <w:pitch w:val="default"/>
    <w:sig w:usb0="800002BF" w:usb1="38CF7CFA" w:usb2="00000016" w:usb3="00000000" w:csb0="00040001" w:csb1="00000000"/>
    <w:embedRegular r:id="rId3" w:fontKey="{F957E225-5C72-4D31-A621-075DD68DAFB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I3OTRlNTA1NjUwZGY1NGI3NTM4NWZhMGI4N2IifQ=="/>
  </w:docVars>
  <w:rsids>
    <w:rsidRoot w:val="00000000"/>
    <w:rsid w:val="021F7108"/>
    <w:rsid w:val="06AA444A"/>
    <w:rsid w:val="08F64EA8"/>
    <w:rsid w:val="0A115F02"/>
    <w:rsid w:val="0A7C5B09"/>
    <w:rsid w:val="0D5010E1"/>
    <w:rsid w:val="0DE01021"/>
    <w:rsid w:val="0F932BA2"/>
    <w:rsid w:val="17FD5D9B"/>
    <w:rsid w:val="18B45288"/>
    <w:rsid w:val="18FA0147"/>
    <w:rsid w:val="1D403077"/>
    <w:rsid w:val="1D492839"/>
    <w:rsid w:val="20FE1726"/>
    <w:rsid w:val="215A11EE"/>
    <w:rsid w:val="221C738B"/>
    <w:rsid w:val="26867B60"/>
    <w:rsid w:val="28C037FD"/>
    <w:rsid w:val="28C41A2E"/>
    <w:rsid w:val="2E8A70BA"/>
    <w:rsid w:val="2FA7362B"/>
    <w:rsid w:val="47CA245C"/>
    <w:rsid w:val="4E1E674C"/>
    <w:rsid w:val="5133145B"/>
    <w:rsid w:val="54D400A4"/>
    <w:rsid w:val="57CB2C9F"/>
    <w:rsid w:val="580979F8"/>
    <w:rsid w:val="582235D0"/>
    <w:rsid w:val="58FB704E"/>
    <w:rsid w:val="5B7221DC"/>
    <w:rsid w:val="5C8C50B1"/>
    <w:rsid w:val="5D72579A"/>
    <w:rsid w:val="60051B34"/>
    <w:rsid w:val="62CA2245"/>
    <w:rsid w:val="67444AD8"/>
    <w:rsid w:val="6C3E5C08"/>
    <w:rsid w:val="6C565726"/>
    <w:rsid w:val="6C8D5F35"/>
    <w:rsid w:val="6D6655C2"/>
    <w:rsid w:val="71FE3217"/>
    <w:rsid w:val="728E1843"/>
    <w:rsid w:val="759E573D"/>
    <w:rsid w:val="79C44D7C"/>
    <w:rsid w:val="7AF33058"/>
    <w:rsid w:val="7C3676B5"/>
    <w:rsid w:val="7CDA716D"/>
    <w:rsid w:val="7F472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0"/>
    <w:pPr>
      <w:widowControl w:val="0"/>
      <w:spacing w:after="120" w:line="240" w:lineRule="auto"/>
      <w:ind w:firstLine="420" w:firstLineChars="100"/>
      <w:jc w:val="both"/>
    </w:pPr>
    <w:rPr>
      <w:sz w:val="21"/>
    </w:rPr>
  </w:style>
  <w:style w:type="paragraph" w:styleId="3">
    <w:name w:val="annotation text"/>
    <w:basedOn w:val="1"/>
    <w:semiHidden/>
    <w:unhideWhenUsed/>
    <w:qFormat/>
    <w:uiPriority w:val="99"/>
    <w:pPr>
      <w:widowControl/>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title1"/>
    <w:qFormat/>
    <w:uiPriority w:val="0"/>
    <w:rPr>
      <w:b/>
      <w:bCs/>
      <w:color w:val="999900"/>
      <w:sz w:val="24"/>
      <w:szCs w:val="24"/>
    </w:rPr>
  </w:style>
  <w:style w:type="character" w:customStyle="1" w:styleId="8">
    <w:name w:val="font41"/>
    <w:basedOn w:val="6"/>
    <w:qFormat/>
    <w:uiPriority w:val="0"/>
    <w:rPr>
      <w:rFonts w:hint="eastAsia" w:ascii="宋体" w:hAnsi="宋体" w:eastAsia="宋体" w:cs="宋体"/>
      <w:color w:val="000000"/>
      <w:sz w:val="18"/>
      <w:szCs w:val="18"/>
      <w:u w:val="none"/>
    </w:rPr>
  </w:style>
  <w:style w:type="character" w:customStyle="1" w:styleId="9">
    <w:name w:val="font11"/>
    <w:basedOn w:val="6"/>
    <w:qFormat/>
    <w:uiPriority w:val="0"/>
    <w:rPr>
      <w:rFonts w:hint="default" w:ascii="Times New Roman" w:hAnsi="Times New Roman" w:cs="Times New Roman"/>
      <w:color w:val="000000"/>
      <w:sz w:val="18"/>
      <w:szCs w:val="18"/>
      <w:u w:val="none"/>
    </w:rPr>
  </w:style>
  <w:style w:type="character" w:customStyle="1" w:styleId="10">
    <w:name w:val="font51"/>
    <w:basedOn w:val="6"/>
    <w:qFormat/>
    <w:uiPriority w:val="0"/>
    <w:rPr>
      <w:rFonts w:hint="default" w:ascii="Times New Roman" w:hAnsi="Times New Roman" w:cs="Times New Roman"/>
      <w:color w:val="000000"/>
      <w:sz w:val="22"/>
      <w:szCs w:val="22"/>
      <w:u w:val="none"/>
    </w:rPr>
  </w:style>
  <w:style w:type="character" w:customStyle="1" w:styleId="11">
    <w:name w:val="font61"/>
    <w:basedOn w:val="6"/>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1900</Words>
  <Characters>2067</Characters>
  <Lines>0</Lines>
  <Paragraphs>0</Paragraphs>
  <TotalTime>2</TotalTime>
  <ScaleCrop>false</ScaleCrop>
  <LinksUpToDate>false</LinksUpToDate>
  <CharactersWithSpaces>2067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2023-03-07T10:50:00Z</dcterms:created>
  <dc:creator>Administrator</dc:creator>
  <cp:lastModifiedBy>葛格</cp:lastModifiedBy>
  <dcterms:modified xsi:type="dcterms:W3CDTF">2025-09-16T09:11:29Z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A91306061ED7413384A2B560656AB03E_13</vt:lpwstr>
  </property>
  <property fmtid="{D5CDD505-2E9C-101B-9397-08002B2CF9AE}" pid="4" name="KSOTemplateDocerSaveRecord">
    <vt:lpwstr>eyJoZGlkIjoiZjUyMmFkZDA1MDUzMWZiMGE0ZTJiOWQyMDIwNzNiY2IiLCJ1c2VySWQiOiI5ODY2OTc3NjYifQ==</vt:lpwstr>
  </property>
</Properties>
</file>