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732BF">
      <w:pPr>
        <w:jc w:val="center"/>
        <w:rPr>
          <w:rStyle w:val="4"/>
          <w:rFonts w:eastAsia="方正小标宋简体"/>
          <w:bCs w:val="0"/>
          <w:color w:val="auto"/>
          <w:sz w:val="36"/>
          <w:szCs w:val="36"/>
        </w:rPr>
      </w:pPr>
      <w:bookmarkStart w:id="0" w:name="_GoBack"/>
      <w:bookmarkEnd w:id="0"/>
      <w:r>
        <w:rPr>
          <w:rStyle w:val="4"/>
          <w:rFonts w:eastAsia="方正小标宋简体"/>
          <w:b w:val="0"/>
          <w:color w:val="auto"/>
          <w:sz w:val="36"/>
          <w:szCs w:val="36"/>
        </w:rPr>
        <w:t>浙江省科学技术奖公示信息表</w:t>
      </w:r>
      <w:r>
        <w:rPr>
          <w:rStyle w:val="4"/>
          <w:rFonts w:eastAsia="仿宋_GB2312"/>
          <w:b w:val="0"/>
          <w:color w:val="auto"/>
          <w:sz w:val="32"/>
          <w:szCs w:val="32"/>
        </w:rPr>
        <w:t>（单位提名）</w:t>
      </w:r>
    </w:p>
    <w:p w14:paraId="205C1B02">
      <w:pPr>
        <w:spacing w:line="440" w:lineRule="exact"/>
        <w:rPr>
          <w:rFonts w:eastAsia="仿宋_GB2312"/>
          <w:sz w:val="28"/>
          <w:szCs w:val="24"/>
        </w:rPr>
      </w:pPr>
      <w:r>
        <w:rPr>
          <w:rFonts w:eastAsia="仿宋_GB2312"/>
          <w:sz w:val="28"/>
          <w:szCs w:val="24"/>
        </w:rPr>
        <w:t>提名奖项：自然科学奖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9"/>
        <w:gridCol w:w="6987"/>
      </w:tblGrid>
      <w:tr w14:paraId="3755D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519" w:type="dxa"/>
            <w:vAlign w:val="center"/>
          </w:tcPr>
          <w:p w14:paraId="311A2568">
            <w:pPr>
              <w:jc w:val="center"/>
              <w:rPr>
                <w:rStyle w:val="4"/>
                <w:rFonts w:eastAsia="仿宋_GB2312"/>
                <w:b w:val="0"/>
                <w:color w:val="auto"/>
                <w:sz w:val="28"/>
              </w:rPr>
            </w:pPr>
            <w:r>
              <w:rPr>
                <w:rStyle w:val="4"/>
                <w:rFonts w:eastAsia="仿宋_GB2312"/>
                <w:b w:val="0"/>
                <w:bCs w:val="0"/>
                <w:color w:val="auto"/>
                <w:sz w:val="28"/>
              </w:rPr>
              <w:t>成果名称</w:t>
            </w:r>
          </w:p>
        </w:tc>
        <w:tc>
          <w:tcPr>
            <w:tcW w:w="6987" w:type="dxa"/>
            <w:vAlign w:val="center"/>
          </w:tcPr>
          <w:p w14:paraId="6D829A4C">
            <w:pPr>
              <w:jc w:val="center"/>
              <w:rPr>
                <w:rStyle w:val="4"/>
                <w:rFonts w:hint="default" w:eastAsia="仿宋_GB2312"/>
                <w:b w:val="0"/>
                <w:color w:val="auto"/>
                <w:sz w:val="28"/>
                <w:lang w:val="en-US" w:eastAsia="zh-CN"/>
              </w:rPr>
            </w:pPr>
            <w:r>
              <w:rPr>
                <w:rStyle w:val="4"/>
                <w:rFonts w:hint="eastAsia" w:eastAsia="仿宋_GB2312"/>
                <w:b w:val="0"/>
                <w:color w:val="auto"/>
                <w:sz w:val="28"/>
                <w:lang w:val="en-US" w:eastAsia="zh-CN"/>
              </w:rPr>
              <w:t>智能聚合物基因载体设计与肿瘤治疗研究</w:t>
            </w:r>
          </w:p>
        </w:tc>
      </w:tr>
      <w:tr w14:paraId="53F0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519" w:type="dxa"/>
            <w:vAlign w:val="center"/>
          </w:tcPr>
          <w:p w14:paraId="47237A18">
            <w:pPr>
              <w:jc w:val="center"/>
              <w:rPr>
                <w:rStyle w:val="4"/>
                <w:rFonts w:eastAsia="仿宋_GB2312"/>
                <w:b w:val="0"/>
                <w:color w:val="auto"/>
                <w:sz w:val="28"/>
              </w:rPr>
            </w:pPr>
            <w:r>
              <w:rPr>
                <w:rStyle w:val="4"/>
                <w:rFonts w:eastAsia="仿宋_GB2312"/>
                <w:b w:val="0"/>
                <w:bCs w:val="0"/>
                <w:color w:val="auto"/>
                <w:sz w:val="28"/>
              </w:rPr>
              <w:t>提名等级</w:t>
            </w:r>
          </w:p>
        </w:tc>
        <w:tc>
          <w:tcPr>
            <w:tcW w:w="6987" w:type="dxa"/>
            <w:vAlign w:val="center"/>
          </w:tcPr>
          <w:p w14:paraId="3EA0AF7C">
            <w:pPr>
              <w:jc w:val="center"/>
              <w:rPr>
                <w:rStyle w:val="4"/>
                <w:rFonts w:hint="default" w:eastAsia="仿宋_GB2312"/>
                <w:b w:val="0"/>
                <w:color w:val="auto"/>
                <w:sz w:val="28"/>
                <w:lang w:val="en-US" w:eastAsia="zh-CN"/>
              </w:rPr>
            </w:pPr>
            <w:r>
              <w:rPr>
                <w:rStyle w:val="4"/>
                <w:rFonts w:hint="eastAsia" w:eastAsia="仿宋_GB2312"/>
                <w:b w:val="0"/>
                <w:color w:val="auto"/>
                <w:sz w:val="28"/>
                <w:lang w:val="en-US" w:eastAsia="zh-CN"/>
              </w:rPr>
              <w:t>二等奖</w:t>
            </w:r>
          </w:p>
        </w:tc>
      </w:tr>
      <w:tr w14:paraId="7151C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1519" w:type="dxa"/>
            <w:vAlign w:val="center"/>
          </w:tcPr>
          <w:p w14:paraId="0471EC75">
            <w:pPr>
              <w:spacing w:line="440" w:lineRule="exact"/>
              <w:jc w:val="center"/>
              <w:rPr>
                <w:rFonts w:eastAsia="仿宋_GB2312"/>
                <w:bCs/>
                <w:sz w:val="28"/>
                <w:szCs w:val="24"/>
                <w:highlight w:val="none"/>
              </w:rPr>
            </w:pPr>
            <w:r>
              <w:rPr>
                <w:rFonts w:eastAsia="仿宋_GB2312"/>
                <w:bCs/>
                <w:sz w:val="28"/>
                <w:szCs w:val="24"/>
                <w:highlight w:val="none"/>
              </w:rPr>
              <w:t>提名书</w:t>
            </w:r>
          </w:p>
          <w:p w14:paraId="7DA179EA">
            <w:pPr>
              <w:spacing w:line="440" w:lineRule="exact"/>
              <w:jc w:val="center"/>
              <w:rPr>
                <w:rFonts w:eastAsia="仿宋_GB2312"/>
                <w:bCs/>
                <w:sz w:val="28"/>
                <w:szCs w:val="24"/>
                <w:highlight w:val="none"/>
              </w:rPr>
            </w:pPr>
            <w:r>
              <w:rPr>
                <w:rFonts w:eastAsia="仿宋_GB2312"/>
                <w:bCs/>
                <w:sz w:val="28"/>
                <w:szCs w:val="24"/>
                <w:highlight w:val="none"/>
              </w:rPr>
              <w:t>相关内容</w:t>
            </w:r>
          </w:p>
        </w:tc>
        <w:tc>
          <w:tcPr>
            <w:tcW w:w="6987" w:type="dxa"/>
            <w:vAlign w:val="center"/>
          </w:tcPr>
          <w:p w14:paraId="56315295">
            <w:pPr>
              <w:numPr>
                <w:ilvl w:val="0"/>
                <w:numId w:val="0"/>
              </w:numPr>
              <w:spacing w:line="440" w:lineRule="exact"/>
              <w:ind w:leftChars="0"/>
              <w:jc w:val="left"/>
              <w:rPr>
                <w:rFonts w:hint="eastAsia" w:eastAsia="仿宋_GB2312"/>
                <w:bCs/>
                <w:sz w:val="24"/>
                <w:szCs w:val="24"/>
                <w:highlight w:val="none"/>
                <w:lang w:val="en-US" w:eastAsia="zh-CN"/>
              </w:rPr>
            </w:pPr>
            <w:r>
              <w:rPr>
                <w:rFonts w:hint="eastAsia" w:eastAsia="仿宋_GB2312"/>
                <w:bCs/>
                <w:sz w:val="24"/>
                <w:szCs w:val="24"/>
                <w:highlight w:val="none"/>
                <w:lang w:val="en-US" w:eastAsia="zh-CN"/>
              </w:rPr>
              <w:t>（一）代表性论文专著目录</w:t>
            </w:r>
          </w:p>
          <w:p w14:paraId="3C4D6215">
            <w:pPr>
              <w:numPr>
                <w:ilvl w:val="0"/>
                <w:numId w:val="0"/>
              </w:numPr>
              <w:spacing w:line="440" w:lineRule="exact"/>
              <w:ind w:leftChars="0"/>
              <w:jc w:val="both"/>
              <w:rPr>
                <w:rFonts w:hint="eastAsia" w:eastAsia="仿宋_GB2312"/>
                <w:bCs/>
                <w:sz w:val="24"/>
                <w:szCs w:val="24"/>
                <w:highlight w:val="none"/>
                <w:lang w:val="en-US" w:eastAsia="zh-CN"/>
              </w:rPr>
            </w:pPr>
            <w:r>
              <w:rPr>
                <w:rFonts w:hint="eastAsia" w:eastAsia="仿宋_GB2312"/>
                <w:bCs/>
                <w:sz w:val="24"/>
                <w:szCs w:val="24"/>
                <w:highlight w:val="none"/>
                <w:lang w:val="en-US" w:eastAsia="zh-CN"/>
              </w:rPr>
              <w:t xml:space="preserve">(1) </w:t>
            </w:r>
            <w:r>
              <w:rPr>
                <w:rFonts w:hint="eastAsia" w:eastAsia="仿宋_GB2312"/>
                <w:b/>
                <w:bCs w:val="0"/>
                <w:sz w:val="24"/>
                <w:szCs w:val="24"/>
                <w:highlight w:val="none"/>
                <w:lang w:val="en-US" w:eastAsia="zh-CN"/>
              </w:rPr>
              <w:t>Qiu Nasha</w:t>
            </w:r>
            <w:r>
              <w:rPr>
                <w:rFonts w:hint="eastAsia" w:eastAsia="仿宋_GB2312"/>
                <w:bCs/>
                <w:sz w:val="24"/>
                <w:szCs w:val="24"/>
                <w:highlight w:val="none"/>
                <w:lang w:val="en-US" w:eastAsia="zh-CN"/>
              </w:rPr>
              <w:t xml:space="preserve">; Liu Xiangrui; Zhong Yin; Zhou Zhuxian; Piao Ying; Miao Lei; Zhang Qianzhi; Tang Jianbin; Huang Leaf; Shen Youqing*; Esterase-Activated Charge-Reversal Polymer for Fibroblast-Exempt Cancer Gene Therapy, </w:t>
            </w:r>
            <w:r>
              <w:rPr>
                <w:rFonts w:hint="eastAsia" w:eastAsia="仿宋_GB2312"/>
                <w:b/>
                <w:bCs w:val="0"/>
                <w:sz w:val="24"/>
                <w:szCs w:val="24"/>
                <w:highlight w:val="none"/>
                <w:lang w:val="en-US" w:eastAsia="zh-CN"/>
              </w:rPr>
              <w:t>Advanced Materials,</w:t>
            </w:r>
            <w:r>
              <w:rPr>
                <w:rFonts w:hint="eastAsia" w:eastAsia="仿宋_GB2312"/>
                <w:bCs/>
                <w:sz w:val="24"/>
                <w:szCs w:val="24"/>
                <w:highlight w:val="none"/>
                <w:lang w:val="en-US" w:eastAsia="zh-CN"/>
              </w:rPr>
              <w:t xml:space="preserve"> 2016，28(48):10613-10622. (SCI收录，中科院JCR双一区，影响因子26.8，唯一第一作者) </w:t>
            </w:r>
          </w:p>
          <w:p w14:paraId="4A2454DF">
            <w:pPr>
              <w:numPr>
                <w:ilvl w:val="0"/>
                <w:numId w:val="0"/>
              </w:numPr>
              <w:spacing w:line="440" w:lineRule="exact"/>
              <w:ind w:leftChars="0"/>
              <w:jc w:val="both"/>
              <w:rPr>
                <w:rFonts w:hint="default" w:eastAsia="仿宋_GB2312"/>
                <w:bCs/>
                <w:sz w:val="24"/>
                <w:szCs w:val="24"/>
                <w:highlight w:val="none"/>
                <w:lang w:val="en-US" w:eastAsia="zh-CN"/>
              </w:rPr>
            </w:pPr>
            <w:r>
              <w:rPr>
                <w:rFonts w:hint="eastAsia" w:eastAsia="仿宋_GB2312"/>
                <w:bCs/>
                <w:sz w:val="24"/>
                <w:szCs w:val="24"/>
                <w:highlight w:val="none"/>
                <w:lang w:val="en-US" w:eastAsia="zh-CN"/>
              </w:rPr>
              <w:t xml:space="preserve">(2) </w:t>
            </w:r>
            <w:r>
              <w:rPr>
                <w:rFonts w:hint="eastAsia" w:eastAsia="仿宋_GB2312"/>
                <w:b/>
                <w:bCs w:val="0"/>
                <w:sz w:val="24"/>
                <w:szCs w:val="24"/>
                <w:lang w:val="en-US" w:eastAsia="zh-CN"/>
              </w:rPr>
              <w:t>Qiu Nasha;</w:t>
            </w:r>
            <w:r>
              <w:rPr>
                <w:rFonts w:hint="eastAsia" w:eastAsia="仿宋_GB2312"/>
                <w:b w:val="0"/>
                <w:bCs/>
                <w:sz w:val="24"/>
                <w:szCs w:val="24"/>
                <w:lang w:val="en-US" w:eastAsia="zh-CN"/>
              </w:rPr>
              <w:t xml:space="preserve"> Gao Jianqing; Liu Qi; Wang Jinqiang; Shen Youqing* ; Enzyme-Responsive Charge-Reversal Polymer-Mediated Effective Gene Therapy for Intraperitoneal Tumors, Biomacromolecules，2018，19(6):2308-2319.  (SCI收录，中科院JCR双一区，影响因子5.4，唯一第一作者)</w:t>
            </w:r>
          </w:p>
          <w:p w14:paraId="7459D07E">
            <w:pPr>
              <w:numPr>
                <w:ilvl w:val="0"/>
                <w:numId w:val="0"/>
              </w:numPr>
              <w:spacing w:line="440" w:lineRule="exact"/>
              <w:ind w:leftChars="0"/>
              <w:jc w:val="both"/>
              <w:rPr>
                <w:rFonts w:hint="eastAsia" w:eastAsia="仿宋_GB2312"/>
                <w:bCs/>
                <w:sz w:val="24"/>
                <w:szCs w:val="24"/>
                <w:highlight w:val="none"/>
                <w:lang w:val="en-US" w:eastAsia="zh-CN"/>
              </w:rPr>
            </w:pPr>
            <w:r>
              <w:rPr>
                <w:rFonts w:hint="eastAsia" w:eastAsia="仿宋_GB2312"/>
                <w:bCs/>
                <w:sz w:val="24"/>
                <w:szCs w:val="24"/>
                <w:highlight w:val="none"/>
                <w:lang w:val="en-US" w:eastAsia="zh-CN"/>
              </w:rPr>
              <w:t xml:space="preserve">(3) </w:t>
            </w:r>
            <w:r>
              <w:rPr>
                <w:rFonts w:hint="eastAsia" w:eastAsia="仿宋_GB2312"/>
                <w:b/>
                <w:bCs w:val="0"/>
                <w:sz w:val="24"/>
                <w:szCs w:val="24"/>
                <w:highlight w:val="none"/>
                <w:lang w:val="en-US" w:eastAsia="zh-CN"/>
              </w:rPr>
              <w:t>Qiu Nasha;</w:t>
            </w:r>
            <w:r>
              <w:rPr>
                <w:rFonts w:hint="eastAsia" w:eastAsia="仿宋_GB2312"/>
                <w:bCs/>
                <w:sz w:val="24"/>
                <w:szCs w:val="24"/>
                <w:highlight w:val="none"/>
                <w:lang w:val="en-US" w:eastAsia="zh-CN"/>
              </w:rPr>
              <w:t xml:space="preserve"> Guowei Wang;Jinqiang Wang; Zhou Quan; Guo Mengyu; Wang Yaling; Hu Xuhao; Zhou Huige; Bai Ru; You Min; ZhangZhen; Chen Chunying*; Liu Ying*; Shen Youqing*; Tumor-Associated Macrophage and Tumor-Cell Dually Transfecting Polyplexes for Efficient Interleukin-12 Cancer Gene Therapy, Advanced Materials,2020，33(2):2006189. (SCI收录，中科院JCR双一区，影响因子26.8，唯一第一作者) </w:t>
            </w:r>
          </w:p>
          <w:p w14:paraId="62463C14">
            <w:pPr>
              <w:numPr>
                <w:ilvl w:val="0"/>
                <w:numId w:val="0"/>
              </w:numPr>
              <w:spacing w:line="440" w:lineRule="exact"/>
              <w:ind w:leftChars="0"/>
              <w:jc w:val="both"/>
              <w:rPr>
                <w:rFonts w:hint="default" w:eastAsia="仿宋_GB2312"/>
                <w:b w:val="0"/>
                <w:bCs/>
                <w:sz w:val="24"/>
                <w:szCs w:val="24"/>
                <w:highlight w:val="none"/>
                <w:lang w:val="en-US" w:eastAsia="zh-CN"/>
              </w:rPr>
            </w:pPr>
            <w:r>
              <w:rPr>
                <w:rFonts w:hint="eastAsia" w:eastAsia="仿宋_GB2312"/>
                <w:bCs/>
                <w:sz w:val="24"/>
                <w:szCs w:val="24"/>
                <w:highlight w:val="none"/>
                <w:lang w:val="en-US" w:eastAsia="zh-CN"/>
              </w:rPr>
              <w:t xml:space="preserve">(4) </w:t>
            </w:r>
            <w:r>
              <w:rPr>
                <w:rFonts w:hint="eastAsia" w:eastAsia="仿宋_GB2312"/>
                <w:b/>
                <w:bCs w:val="0"/>
                <w:sz w:val="24"/>
                <w:szCs w:val="24"/>
                <w:highlight w:val="none"/>
                <w:lang w:val="en-US" w:eastAsia="zh-CN"/>
              </w:rPr>
              <w:t>Qiu Nasha</w:t>
            </w:r>
            <w:r>
              <w:rPr>
                <w:rFonts w:hint="eastAsia" w:eastAsia="仿宋_GB2312"/>
                <w:bCs/>
                <w:sz w:val="24"/>
                <w:szCs w:val="24"/>
                <w:highlight w:val="none"/>
                <w:lang w:val="en-US" w:eastAsia="zh-CN"/>
              </w:rPr>
              <w:t xml:space="preserve">; Liu Yun; Liu Qi;Chen Yanzuo; Shen Limei; Hu Mengying; Zhou Xuefei; Shen Youqing*; Gao Jianqing*; Huang Leaf*; Celastrol nanoemulsion induces immunogenicity and downregulates PD-L1 to boost abscopal effect in melanoma therapy,Biomaterials,2021，269:120604. (SCI收录，中科院JCR双一区，影响因子12.8，唯一第一作者) </w:t>
            </w:r>
          </w:p>
          <w:p w14:paraId="254344E5">
            <w:pPr>
              <w:numPr>
                <w:ilvl w:val="0"/>
                <w:numId w:val="0"/>
              </w:numPr>
              <w:spacing w:line="440" w:lineRule="exact"/>
              <w:jc w:val="both"/>
              <w:rPr>
                <w:rFonts w:hint="eastAsia" w:eastAsia="仿宋_GB2312"/>
                <w:bCs/>
                <w:sz w:val="24"/>
                <w:szCs w:val="24"/>
                <w:highlight w:val="none"/>
                <w:lang w:val="en-US" w:eastAsia="zh-CN"/>
              </w:rPr>
            </w:pPr>
            <w:r>
              <w:rPr>
                <w:rFonts w:hint="eastAsia" w:eastAsia="仿宋_GB2312"/>
                <w:bCs/>
                <w:sz w:val="24"/>
                <w:szCs w:val="24"/>
                <w:highlight w:val="none"/>
                <w:lang w:val="en-US" w:eastAsia="zh-CN"/>
              </w:rPr>
              <w:t xml:space="preserve">(5) </w:t>
            </w:r>
            <w:r>
              <w:rPr>
                <w:rFonts w:hint="eastAsia" w:eastAsia="仿宋_GB2312"/>
                <w:b/>
                <w:bCs w:val="0"/>
                <w:sz w:val="24"/>
                <w:szCs w:val="24"/>
                <w:highlight w:val="none"/>
                <w:lang w:val="en-US" w:eastAsia="zh-CN"/>
              </w:rPr>
              <w:t>Qiu Nasha#</w:t>
            </w:r>
            <w:r>
              <w:rPr>
                <w:rFonts w:hint="eastAsia" w:eastAsia="仿宋_GB2312"/>
                <w:bCs/>
                <w:sz w:val="24"/>
                <w:szCs w:val="24"/>
                <w:highlight w:val="none"/>
                <w:lang w:val="en-US" w:eastAsia="zh-CN"/>
              </w:rPr>
              <w:t xml:space="preserve">; Zhang Zhen#; Wei Xuyong#; Xu Chang#; Jia Xiaolong#; Wang Kai#; Chen Yunqi; Wang Shuai; Su Renyi; Cen Beini;Shen Youqing*; Chen Chunying*;Liu Yanpeng*; Xu Xiao*; Peritoneal Gene Transfection of Tumor Necrosis Factor-Related Apoptosis-Inducing Ligand for Tumor Surveillance and Prophylaxis,Nano Letters,2023，23(17):7859-7868. (SCI收录，中科院二区，JCR一区，影响因子9.1，第一作者) </w:t>
            </w:r>
          </w:p>
          <w:p w14:paraId="62B9AC40">
            <w:pPr>
              <w:numPr>
                <w:ilvl w:val="0"/>
                <w:numId w:val="0"/>
              </w:numPr>
              <w:spacing w:line="440" w:lineRule="exact"/>
              <w:ind w:leftChars="0"/>
              <w:jc w:val="both"/>
              <w:rPr>
                <w:rFonts w:hint="eastAsia" w:eastAsia="仿宋_GB2312"/>
                <w:bCs/>
                <w:sz w:val="24"/>
                <w:szCs w:val="24"/>
                <w:highlight w:val="none"/>
                <w:lang w:val="en-US" w:eastAsia="zh-CN"/>
              </w:rPr>
            </w:pPr>
            <w:r>
              <w:rPr>
                <w:rFonts w:hint="eastAsia" w:eastAsia="仿宋_GB2312"/>
                <w:bCs/>
                <w:sz w:val="24"/>
                <w:szCs w:val="24"/>
                <w:highlight w:val="none"/>
                <w:lang w:val="en-US" w:eastAsia="zh-CN"/>
              </w:rPr>
              <w:t xml:space="preserve">(6) Zhang Zhen#; </w:t>
            </w:r>
            <w:r>
              <w:rPr>
                <w:rFonts w:hint="eastAsia" w:eastAsia="仿宋_GB2312"/>
                <w:b/>
                <w:bCs w:val="0"/>
                <w:sz w:val="24"/>
                <w:szCs w:val="24"/>
                <w:highlight w:val="none"/>
                <w:lang w:val="en-US" w:eastAsia="zh-CN"/>
              </w:rPr>
              <w:t>Qiu Nasha#</w:t>
            </w:r>
            <w:r>
              <w:rPr>
                <w:rFonts w:hint="eastAsia" w:eastAsia="仿宋_GB2312"/>
                <w:bCs/>
                <w:sz w:val="24"/>
                <w:szCs w:val="24"/>
                <w:highlight w:val="none"/>
                <w:lang w:val="en-US" w:eastAsia="zh-CN"/>
              </w:rPr>
              <w:t xml:space="preserve">; Wu Shuling; Liu Xin; Zhou Zhuxian; Tang Jianbin; Liu Yanpeng; Zhou Ruhong; Shen Youqing*; Dose-Independent Transfection of Hydrophobized Polyplexes, Advanced Materials,2021，33(25):2102219.  (SCI收录，中科院JCR双一区，影响因子26.8，共一第二) </w:t>
            </w:r>
          </w:p>
          <w:p w14:paraId="0AF66FCF">
            <w:pPr>
              <w:numPr>
                <w:ilvl w:val="0"/>
                <w:numId w:val="0"/>
              </w:numPr>
              <w:spacing w:line="440" w:lineRule="exact"/>
              <w:ind w:leftChars="0"/>
              <w:jc w:val="both"/>
              <w:rPr>
                <w:rFonts w:hint="eastAsia" w:eastAsia="仿宋_GB2312"/>
                <w:bCs/>
                <w:sz w:val="24"/>
                <w:szCs w:val="24"/>
                <w:highlight w:val="none"/>
                <w:lang w:val="en-US" w:eastAsia="zh-CN"/>
              </w:rPr>
            </w:pPr>
            <w:r>
              <w:rPr>
                <w:rFonts w:hint="eastAsia" w:eastAsia="仿宋_GB2312"/>
                <w:bCs/>
                <w:sz w:val="24"/>
                <w:szCs w:val="24"/>
                <w:highlight w:val="none"/>
                <w:lang w:val="en-US" w:eastAsia="zh-CN"/>
              </w:rPr>
              <w:t xml:space="preserve">(7) Zhang Runnan; Shao Shiqun; Piao Ying; Xiang Jiajia; Wei Xuyong; Zhang Zhen; Zhou Zhuxian; Tang Jianbin; </w:t>
            </w:r>
            <w:r>
              <w:rPr>
                <w:rFonts w:hint="eastAsia" w:eastAsia="仿宋_GB2312"/>
                <w:b/>
                <w:bCs w:val="0"/>
                <w:sz w:val="24"/>
                <w:szCs w:val="24"/>
                <w:highlight w:val="none"/>
                <w:lang w:val="en-US" w:eastAsia="zh-CN"/>
              </w:rPr>
              <w:t>Qiu Nasha*</w:t>
            </w:r>
            <w:r>
              <w:rPr>
                <w:rFonts w:hint="eastAsia" w:eastAsia="仿宋_GB2312"/>
                <w:bCs/>
                <w:sz w:val="24"/>
                <w:szCs w:val="24"/>
                <w:highlight w:val="none"/>
                <w:lang w:val="en-US" w:eastAsia="zh-CN"/>
              </w:rPr>
              <w:t>; Xu Xiao*; Liu Yanpeng*; Shen Youqing* ; Esterase -Labile Quaternium</w:t>
            </w:r>
          </w:p>
          <w:p w14:paraId="037F2399">
            <w:pPr>
              <w:numPr>
                <w:ilvl w:val="0"/>
                <w:numId w:val="0"/>
              </w:numPr>
              <w:spacing w:line="440" w:lineRule="exact"/>
              <w:ind w:leftChars="0"/>
              <w:jc w:val="both"/>
              <w:rPr>
                <w:rFonts w:hint="eastAsia" w:eastAsia="仿宋_GB2312"/>
                <w:bCs/>
                <w:sz w:val="24"/>
                <w:szCs w:val="24"/>
                <w:highlight w:val="none"/>
                <w:lang w:val="en-US" w:eastAsia="zh-CN"/>
              </w:rPr>
            </w:pPr>
            <w:r>
              <w:rPr>
                <w:rFonts w:hint="eastAsia" w:eastAsia="仿宋_GB2312"/>
                <w:bCs/>
                <w:sz w:val="24"/>
                <w:szCs w:val="24"/>
                <w:highlight w:val="none"/>
                <w:lang w:val="en-US" w:eastAsia="zh-CN"/>
              </w:rPr>
              <w:t xml:space="preserve">Lipidoid Enabling ImprovedmRNA-LNPStability and Spleen - SelectivemRNA Transfection, Advanced Materials,2023，35:2303614.  (SCI收录，中科院JCR双一区，影响因子26.8，共同通讯作者) </w:t>
            </w:r>
          </w:p>
          <w:p w14:paraId="22B1ABE9">
            <w:pPr>
              <w:numPr>
                <w:ilvl w:val="0"/>
                <w:numId w:val="0"/>
              </w:numPr>
              <w:spacing w:line="440" w:lineRule="exact"/>
              <w:ind w:leftChars="0"/>
              <w:jc w:val="both"/>
              <w:rPr>
                <w:rFonts w:hint="eastAsia" w:eastAsia="仿宋_GB2312"/>
                <w:bCs/>
                <w:sz w:val="24"/>
                <w:szCs w:val="24"/>
                <w:highlight w:val="none"/>
                <w:lang w:val="en-US" w:eastAsia="zh-CN"/>
              </w:rPr>
            </w:pPr>
          </w:p>
          <w:p w14:paraId="34B61C70">
            <w:pPr>
              <w:spacing w:line="440" w:lineRule="exact"/>
              <w:jc w:val="left"/>
              <w:rPr>
                <w:rFonts w:hint="eastAsia" w:eastAsia="仿宋_GB2312"/>
                <w:bCs/>
                <w:sz w:val="24"/>
                <w:szCs w:val="24"/>
                <w:highlight w:val="none"/>
                <w:lang w:val="en-US" w:eastAsia="zh-CN"/>
              </w:rPr>
            </w:pPr>
            <w:r>
              <w:rPr>
                <w:rFonts w:hint="eastAsia" w:eastAsia="仿宋_GB2312"/>
                <w:bCs/>
                <w:sz w:val="24"/>
                <w:szCs w:val="24"/>
                <w:highlight w:val="none"/>
                <w:lang w:val="en-US" w:eastAsia="zh-CN"/>
              </w:rPr>
              <w:t>（二）主要产权知识目录 （已授权）：</w:t>
            </w:r>
          </w:p>
          <w:p w14:paraId="4C1F85B5">
            <w:pPr>
              <w:numPr>
                <w:ilvl w:val="0"/>
                <w:numId w:val="0"/>
              </w:numPr>
              <w:spacing w:line="440" w:lineRule="exact"/>
              <w:jc w:val="left"/>
              <w:rPr>
                <w:rFonts w:hint="eastAsia" w:eastAsia="仿宋_GB2312"/>
                <w:bCs/>
                <w:sz w:val="24"/>
                <w:szCs w:val="24"/>
                <w:highlight w:val="none"/>
                <w:lang w:val="en-US" w:eastAsia="zh-CN"/>
              </w:rPr>
            </w:pPr>
            <w:r>
              <w:rPr>
                <w:rFonts w:hint="eastAsia" w:eastAsia="仿宋_GB2312"/>
                <w:bCs/>
                <w:sz w:val="24"/>
                <w:szCs w:val="24"/>
                <w:highlight w:val="none"/>
                <w:lang w:val="en-US" w:eastAsia="zh-CN"/>
              </w:rPr>
              <w:t>申有青;</w:t>
            </w:r>
            <w:r>
              <w:rPr>
                <w:rFonts w:hint="eastAsia" w:eastAsia="仿宋_GB2312"/>
                <w:b/>
                <w:bCs w:val="0"/>
                <w:sz w:val="24"/>
                <w:szCs w:val="24"/>
                <w:highlight w:val="none"/>
                <w:lang w:val="en-US" w:eastAsia="zh-CN"/>
              </w:rPr>
              <w:t>邱娜莎</w:t>
            </w:r>
            <w:r>
              <w:rPr>
                <w:rFonts w:hint="eastAsia" w:eastAsia="仿宋_GB2312"/>
                <w:bCs/>
                <w:sz w:val="24"/>
                <w:szCs w:val="24"/>
                <w:highlight w:val="none"/>
                <w:lang w:val="en-US" w:eastAsia="zh-CN"/>
              </w:rPr>
              <w:t>;王国伟;一种具有酯酶响应的阳离子聚合物，专利号:ZL2016 1 0475651.5，发明专利</w:t>
            </w:r>
          </w:p>
          <w:p w14:paraId="1C9DB987">
            <w:pPr>
              <w:numPr>
                <w:ilvl w:val="0"/>
                <w:numId w:val="0"/>
              </w:numPr>
              <w:spacing w:line="440" w:lineRule="exact"/>
              <w:jc w:val="left"/>
              <w:rPr>
                <w:rFonts w:hint="eastAsia" w:eastAsia="仿宋_GB2312"/>
                <w:bCs/>
                <w:sz w:val="24"/>
                <w:szCs w:val="24"/>
                <w:highlight w:val="none"/>
                <w:lang w:val="en-US" w:eastAsia="zh-CN"/>
              </w:rPr>
            </w:pPr>
          </w:p>
          <w:p w14:paraId="0E0AB741">
            <w:pPr>
              <w:widowControl w:val="0"/>
              <w:numPr>
                <w:ilvl w:val="0"/>
                <w:numId w:val="0"/>
              </w:numPr>
              <w:spacing w:line="440" w:lineRule="exact"/>
              <w:jc w:val="left"/>
              <w:rPr>
                <w:rFonts w:hint="default" w:eastAsia="仿宋_GB2312"/>
                <w:bCs/>
                <w:sz w:val="24"/>
                <w:szCs w:val="24"/>
                <w:highlight w:val="none"/>
                <w:lang w:val="en-US" w:eastAsia="zh-CN"/>
              </w:rPr>
            </w:pPr>
          </w:p>
        </w:tc>
      </w:tr>
      <w:tr w14:paraId="351E6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trPr>
        <w:tc>
          <w:tcPr>
            <w:tcW w:w="1519" w:type="dxa"/>
            <w:tcBorders>
              <w:right w:val="single" w:color="auto" w:sz="4" w:space="0"/>
            </w:tcBorders>
            <w:vAlign w:val="center"/>
          </w:tcPr>
          <w:p w14:paraId="63CE9EE2">
            <w:pPr>
              <w:spacing w:line="440" w:lineRule="exact"/>
              <w:jc w:val="center"/>
              <w:rPr>
                <w:rFonts w:eastAsia="仿宋_GB2312"/>
                <w:bCs/>
                <w:sz w:val="28"/>
                <w:szCs w:val="24"/>
              </w:rPr>
            </w:pPr>
            <w:r>
              <w:rPr>
                <w:rFonts w:eastAsia="仿宋_GB2312"/>
                <w:bCs/>
                <w:sz w:val="28"/>
                <w:szCs w:val="24"/>
              </w:rPr>
              <w:t>主要</w:t>
            </w:r>
          </w:p>
          <w:p w14:paraId="587D1D1F">
            <w:pPr>
              <w:spacing w:line="440" w:lineRule="exact"/>
              <w:jc w:val="center"/>
              <w:rPr>
                <w:rFonts w:eastAsia="仿宋_GB2312"/>
                <w:bCs/>
                <w:sz w:val="28"/>
                <w:szCs w:val="24"/>
              </w:rPr>
            </w:pPr>
            <w:r>
              <w:rPr>
                <w:rFonts w:eastAsia="仿宋_GB2312"/>
                <w:bCs/>
                <w:sz w:val="28"/>
                <w:szCs w:val="24"/>
              </w:rPr>
              <w:t>完成人</w:t>
            </w:r>
          </w:p>
        </w:tc>
        <w:tc>
          <w:tcPr>
            <w:tcW w:w="6987" w:type="dxa"/>
            <w:tcBorders>
              <w:left w:val="single" w:color="auto" w:sz="4" w:space="0"/>
            </w:tcBorders>
            <w:vAlign w:val="center"/>
          </w:tcPr>
          <w:p w14:paraId="1C9B396D">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邱娜莎</w:t>
            </w:r>
            <w:r>
              <w:rPr>
                <w:rFonts w:hint="eastAsia" w:ascii="仿宋" w:hAnsi="仿宋" w:eastAsia="仿宋" w:cs="仿宋"/>
                <w:bCs/>
                <w:sz w:val="24"/>
                <w:szCs w:val="24"/>
              </w:rPr>
              <w:t>，排名1，</w:t>
            </w:r>
            <w:r>
              <w:rPr>
                <w:rFonts w:hint="eastAsia" w:ascii="仿宋" w:hAnsi="仿宋" w:eastAsia="仿宋" w:cs="仿宋"/>
                <w:bCs/>
                <w:sz w:val="24"/>
                <w:szCs w:val="24"/>
                <w:lang w:val="en-US" w:eastAsia="zh-CN"/>
              </w:rPr>
              <w:t>副研究员</w:t>
            </w:r>
            <w:r>
              <w:rPr>
                <w:rFonts w:hint="eastAsia" w:ascii="仿宋" w:hAnsi="仿宋" w:eastAsia="仿宋" w:cs="仿宋"/>
                <w:bCs/>
                <w:sz w:val="24"/>
                <w:szCs w:val="24"/>
              </w:rPr>
              <w:t>，</w:t>
            </w:r>
            <w:r>
              <w:rPr>
                <w:rFonts w:hint="eastAsia" w:ascii="仿宋" w:hAnsi="仿宋" w:eastAsia="仿宋" w:cs="仿宋"/>
                <w:bCs/>
                <w:sz w:val="24"/>
                <w:szCs w:val="24"/>
                <w:lang w:val="en-US" w:eastAsia="zh-CN"/>
              </w:rPr>
              <w:t>杭州市第一人民医院</w:t>
            </w:r>
          </w:p>
          <w:p w14:paraId="0FEC7989">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徐  骁</w:t>
            </w:r>
            <w:r>
              <w:rPr>
                <w:rFonts w:hint="eastAsia" w:ascii="仿宋" w:hAnsi="仿宋" w:eastAsia="仿宋" w:cs="仿宋"/>
                <w:bCs/>
                <w:sz w:val="24"/>
                <w:szCs w:val="24"/>
              </w:rPr>
              <w:t>，排名2，</w:t>
            </w:r>
            <w:r>
              <w:rPr>
                <w:rFonts w:hint="eastAsia" w:ascii="仿宋" w:hAnsi="仿宋" w:eastAsia="仿宋" w:cs="仿宋"/>
                <w:bCs/>
                <w:sz w:val="24"/>
                <w:szCs w:val="24"/>
                <w:lang w:val="en-US" w:eastAsia="zh-CN"/>
              </w:rPr>
              <w:t>主任医师</w:t>
            </w:r>
            <w:r>
              <w:rPr>
                <w:rFonts w:hint="eastAsia" w:ascii="仿宋" w:hAnsi="仿宋" w:eastAsia="仿宋" w:cs="仿宋"/>
                <w:bCs/>
                <w:sz w:val="24"/>
                <w:szCs w:val="24"/>
              </w:rPr>
              <w:t>，</w:t>
            </w:r>
            <w:r>
              <w:rPr>
                <w:rFonts w:hint="eastAsia" w:ascii="仿宋" w:hAnsi="仿宋" w:eastAsia="仿宋" w:cs="仿宋"/>
                <w:bCs/>
                <w:sz w:val="24"/>
                <w:szCs w:val="24"/>
                <w:lang w:val="en-US" w:eastAsia="zh-CN"/>
              </w:rPr>
              <w:t>杭州医学院</w:t>
            </w:r>
          </w:p>
          <w:p w14:paraId="620B8C51">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申有青，排名3，教授，浙江大学</w:t>
            </w:r>
          </w:p>
          <w:p w14:paraId="307543A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鲁  迪，排名4，研究员，杭州医学院</w:t>
            </w:r>
          </w:p>
          <w:p w14:paraId="373D942A">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谢阳腊，排名5，初级药师，杭州市第一人民医院</w:t>
            </w:r>
          </w:p>
        </w:tc>
      </w:tr>
      <w:tr w14:paraId="61599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1519" w:type="dxa"/>
            <w:tcBorders>
              <w:right w:val="single" w:color="auto" w:sz="4" w:space="0"/>
            </w:tcBorders>
            <w:vAlign w:val="center"/>
          </w:tcPr>
          <w:p w14:paraId="6B8323F3">
            <w:pPr>
              <w:spacing w:line="440" w:lineRule="exact"/>
              <w:jc w:val="center"/>
              <w:rPr>
                <w:rFonts w:eastAsia="仿宋"/>
                <w:bCs/>
                <w:sz w:val="24"/>
                <w:szCs w:val="24"/>
              </w:rPr>
            </w:pPr>
            <w:r>
              <w:rPr>
                <w:rFonts w:eastAsia="仿宋"/>
                <w:bCs/>
                <w:sz w:val="28"/>
                <w:szCs w:val="24"/>
              </w:rPr>
              <w:t>主要完成单位</w:t>
            </w:r>
          </w:p>
        </w:tc>
        <w:tc>
          <w:tcPr>
            <w:tcW w:w="6987" w:type="dxa"/>
            <w:tcBorders>
              <w:left w:val="single" w:color="auto" w:sz="4" w:space="0"/>
            </w:tcBorders>
            <w:vAlign w:val="center"/>
          </w:tcPr>
          <w:p w14:paraId="2673E7AA">
            <w:pPr>
              <w:spacing w:line="440" w:lineRule="exact"/>
              <w:jc w:val="left"/>
              <w:rPr>
                <w:rFonts w:hint="eastAsia" w:ascii="仿宋" w:hAnsi="仿宋" w:eastAsia="仿宋" w:cs="仿宋"/>
                <w:bCs/>
                <w:sz w:val="24"/>
                <w:szCs w:val="24"/>
                <w:lang w:val="en-US" w:eastAsia="zh-CN"/>
              </w:rPr>
            </w:pPr>
            <w:r>
              <w:rPr>
                <w:rFonts w:hint="eastAsia" w:ascii="仿宋" w:hAnsi="仿宋" w:eastAsia="仿宋" w:cs="仿宋"/>
                <w:bCs/>
                <w:sz w:val="24"/>
                <w:szCs w:val="24"/>
              </w:rPr>
              <w:t>1.单位名称：</w:t>
            </w:r>
            <w:r>
              <w:rPr>
                <w:rFonts w:hint="eastAsia" w:ascii="仿宋" w:hAnsi="仿宋" w:eastAsia="仿宋" w:cs="仿宋"/>
                <w:bCs/>
                <w:sz w:val="24"/>
                <w:szCs w:val="24"/>
                <w:lang w:val="en-US" w:eastAsia="zh-CN"/>
              </w:rPr>
              <w:t>杭州市第一人民医院</w:t>
            </w:r>
          </w:p>
          <w:p w14:paraId="48B7EC85">
            <w:pPr>
              <w:spacing w:line="440" w:lineRule="exact"/>
              <w:jc w:val="left"/>
              <w:rPr>
                <w:rFonts w:hint="eastAsia" w:ascii="仿宋" w:hAnsi="仿宋" w:eastAsia="仿宋" w:cs="仿宋"/>
                <w:bCs/>
                <w:sz w:val="24"/>
                <w:szCs w:val="24"/>
                <w:lang w:val="en-US" w:eastAsia="zh-CN"/>
              </w:rPr>
            </w:pPr>
            <w:r>
              <w:rPr>
                <w:rFonts w:hint="eastAsia" w:ascii="仿宋" w:hAnsi="仿宋" w:eastAsia="仿宋" w:cs="仿宋"/>
                <w:bCs/>
                <w:sz w:val="24"/>
                <w:szCs w:val="24"/>
              </w:rPr>
              <w:t>2.单位名称：</w:t>
            </w:r>
            <w:r>
              <w:rPr>
                <w:rFonts w:hint="eastAsia" w:ascii="仿宋" w:hAnsi="仿宋" w:eastAsia="仿宋" w:cs="仿宋"/>
                <w:bCs/>
                <w:sz w:val="24"/>
                <w:szCs w:val="24"/>
                <w:lang w:val="en-US" w:eastAsia="zh-CN"/>
              </w:rPr>
              <w:t>浙江大学</w:t>
            </w:r>
          </w:p>
        </w:tc>
      </w:tr>
      <w:tr w14:paraId="2A063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19" w:type="dxa"/>
            <w:vAlign w:val="center"/>
          </w:tcPr>
          <w:p w14:paraId="47D9106E">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987" w:type="dxa"/>
            <w:vAlign w:val="center"/>
          </w:tcPr>
          <w:p w14:paraId="580F465D">
            <w:pPr>
              <w:contextualSpacing/>
              <w:jc w:val="center"/>
              <w:rPr>
                <w:rStyle w:val="4"/>
                <w:rFonts w:hint="default" w:eastAsia="宋体"/>
                <w:b w:val="0"/>
                <w:color w:val="auto"/>
                <w:lang w:val="en-US" w:eastAsia="zh-CN"/>
              </w:rPr>
            </w:pPr>
            <w:r>
              <w:rPr>
                <w:rFonts w:hint="eastAsia" w:eastAsia="仿宋_GB2312"/>
                <w:bCs/>
                <w:sz w:val="24"/>
                <w:szCs w:val="24"/>
                <w:lang w:val="en-US" w:eastAsia="zh-CN"/>
              </w:rPr>
              <w:t>杭州市人民政府</w:t>
            </w:r>
          </w:p>
        </w:tc>
      </w:tr>
      <w:tr w14:paraId="3AEFA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519" w:type="dxa"/>
            <w:vAlign w:val="center"/>
          </w:tcPr>
          <w:p w14:paraId="2938E982">
            <w:pPr>
              <w:jc w:val="center"/>
              <w:rPr>
                <w:rStyle w:val="4"/>
                <w:rFonts w:eastAsia="仿宋_GB2312"/>
                <w:b w:val="0"/>
                <w:color w:val="auto"/>
                <w:sz w:val="28"/>
                <w:szCs w:val="28"/>
              </w:rPr>
            </w:pPr>
            <w:r>
              <w:rPr>
                <w:rStyle w:val="4"/>
                <w:rFonts w:eastAsia="仿宋_GB2312"/>
                <w:b w:val="0"/>
                <w:color w:val="auto"/>
                <w:sz w:val="28"/>
                <w:szCs w:val="28"/>
              </w:rPr>
              <w:t>提名意见</w:t>
            </w:r>
          </w:p>
        </w:tc>
        <w:tc>
          <w:tcPr>
            <w:tcW w:w="6987" w:type="dxa"/>
            <w:vAlign w:val="center"/>
          </w:tcPr>
          <w:p w14:paraId="15EE73EA">
            <w:pPr>
              <w:numPr>
                <w:ilvl w:val="0"/>
                <w:numId w:val="0"/>
              </w:numPr>
              <w:spacing w:line="440" w:lineRule="exact"/>
              <w:ind w:firstLine="480" w:firstLineChars="200"/>
              <w:jc w:val="both"/>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恶性肿瘤的高效治疗是面向人民生命健康的重大需求。基于新型纳米递送技术的基因和免疫疗法是提升肿瘤疗效的新兴策略，其关键是设计相应的高效递送载体。该成果开展了功能聚合物载体设计与肿瘤基因治疗及免疫治疗的机制研究，取得了一系列原创性研究成果和突破性科学发现: (1)首次设计可响应肿瘤细胞和正常细胞的酯酶浓度差异，建立了肿瘤细胞选择性高效转染自杀基因、避免杀伤瘤内保护细胞而触发其保护机制的肿瘤基因治疗方法，实现腹腔转移瘤等的高效治疗；(2)发现可同时高效转染肿瘤相关巨噬细胞和腹腔巨噬细胞的基因递送高分子载体，实现肿瘤的高效免疫治疗；（3）创制肝脏靶向性及线粒体靶向性的功能聚合物载体，通过肝脏免疫微环境重塑，</w:t>
            </w:r>
            <w:r>
              <w:rPr>
                <w:rFonts w:hint="eastAsia" w:ascii="仿宋" w:hAnsi="仿宋" w:eastAsia="仿宋" w:cs="仿宋"/>
                <w:bCs/>
                <w:sz w:val="24"/>
                <w:szCs w:val="24"/>
                <w:lang w:val="en-US" w:eastAsia="zh-CN"/>
              </w:rPr>
              <w:t>大幅提升</w:t>
            </w:r>
            <w:r>
              <w:rPr>
                <w:rFonts w:hint="default" w:ascii="仿宋" w:hAnsi="仿宋" w:eastAsia="仿宋" w:cs="仿宋"/>
                <w:bCs/>
                <w:sz w:val="24"/>
                <w:szCs w:val="24"/>
                <w:lang w:val="en-US" w:eastAsia="zh-CN"/>
              </w:rPr>
              <w:t>肝</w:t>
            </w:r>
            <w:r>
              <w:rPr>
                <w:rFonts w:hint="eastAsia" w:ascii="仿宋" w:hAnsi="仿宋" w:eastAsia="仿宋" w:cs="仿宋"/>
                <w:bCs/>
                <w:sz w:val="24"/>
                <w:szCs w:val="24"/>
                <w:lang w:val="en-US" w:eastAsia="zh-CN"/>
              </w:rPr>
              <w:t>癌免疫疗效</w:t>
            </w:r>
            <w:r>
              <w:rPr>
                <w:rFonts w:hint="default" w:ascii="仿宋" w:hAnsi="仿宋" w:eastAsia="仿宋" w:cs="仿宋"/>
                <w:bCs/>
                <w:sz w:val="24"/>
                <w:szCs w:val="24"/>
                <w:lang w:val="en-US" w:eastAsia="zh-CN"/>
              </w:rPr>
              <w:t>。</w:t>
            </w:r>
          </w:p>
          <w:p w14:paraId="6C473F56">
            <w:pPr>
              <w:numPr>
                <w:ilvl w:val="0"/>
                <w:numId w:val="0"/>
              </w:numPr>
              <w:spacing w:line="440" w:lineRule="exact"/>
              <w:ind w:firstLine="480" w:firstLineChars="200"/>
              <w:jc w:val="both"/>
              <w:rPr>
                <w:rFonts w:hint="default" w:ascii="仿宋" w:hAnsi="仿宋" w:eastAsia="仿宋" w:cs="仿宋"/>
                <w:bCs/>
                <w:sz w:val="24"/>
                <w:szCs w:val="24"/>
                <w:lang w:val="en-US" w:eastAsia="zh-CN"/>
              </w:rPr>
            </w:pPr>
            <w:r>
              <w:rPr>
                <w:rFonts w:hint="default" w:ascii="仿宋" w:hAnsi="仿宋" w:eastAsia="仿宋" w:cs="仿宋"/>
                <w:bCs/>
                <w:sz w:val="24"/>
                <w:szCs w:val="24"/>
                <w:lang w:val="en-US" w:eastAsia="zh-CN"/>
              </w:rPr>
              <w:t>该成果在肿瘤的基因治疗和免疫治疗领域取得了技术及理论上的重大创新，拓展了新材料在生命健康领域的应用。提名2024年度浙江省自然科学奖二等奖。</w:t>
            </w:r>
          </w:p>
        </w:tc>
      </w:tr>
    </w:tbl>
    <w:p w14:paraId="5D32B4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20950"/>
    <w:rsid w:val="00360E24"/>
    <w:rsid w:val="02510197"/>
    <w:rsid w:val="02C1531D"/>
    <w:rsid w:val="044A30F0"/>
    <w:rsid w:val="05AB50DB"/>
    <w:rsid w:val="06515869"/>
    <w:rsid w:val="079E79DA"/>
    <w:rsid w:val="07C66F31"/>
    <w:rsid w:val="095835E2"/>
    <w:rsid w:val="09D678FF"/>
    <w:rsid w:val="0D9F26FE"/>
    <w:rsid w:val="0ECE727B"/>
    <w:rsid w:val="10AD3D9B"/>
    <w:rsid w:val="10B65D95"/>
    <w:rsid w:val="16E82A20"/>
    <w:rsid w:val="19297756"/>
    <w:rsid w:val="1CF33ECD"/>
    <w:rsid w:val="22112672"/>
    <w:rsid w:val="25334819"/>
    <w:rsid w:val="281D44F4"/>
    <w:rsid w:val="2ABA0028"/>
    <w:rsid w:val="2AD57308"/>
    <w:rsid w:val="2B320950"/>
    <w:rsid w:val="31772EC7"/>
    <w:rsid w:val="31A33CBC"/>
    <w:rsid w:val="338D69D1"/>
    <w:rsid w:val="345B087E"/>
    <w:rsid w:val="36AC53C0"/>
    <w:rsid w:val="3B6E70E8"/>
    <w:rsid w:val="3C5F4C83"/>
    <w:rsid w:val="3C6A3D54"/>
    <w:rsid w:val="3C701EB0"/>
    <w:rsid w:val="41BD4926"/>
    <w:rsid w:val="4574354D"/>
    <w:rsid w:val="45B002FD"/>
    <w:rsid w:val="46A460B4"/>
    <w:rsid w:val="48C9430F"/>
    <w:rsid w:val="4FE92D8A"/>
    <w:rsid w:val="515A77A6"/>
    <w:rsid w:val="528F7DA9"/>
    <w:rsid w:val="596411B7"/>
    <w:rsid w:val="59C03B2A"/>
    <w:rsid w:val="5D504448"/>
    <w:rsid w:val="61472627"/>
    <w:rsid w:val="66495ED8"/>
    <w:rsid w:val="67D0065F"/>
    <w:rsid w:val="685017A0"/>
    <w:rsid w:val="68C63810"/>
    <w:rsid w:val="6DF8446C"/>
    <w:rsid w:val="6FFF244B"/>
    <w:rsid w:val="7040659E"/>
    <w:rsid w:val="74687E72"/>
    <w:rsid w:val="777D0CE5"/>
    <w:rsid w:val="77BF249E"/>
    <w:rsid w:val="7847671C"/>
    <w:rsid w:val="784F3822"/>
    <w:rsid w:val="7A262361"/>
    <w:rsid w:val="7CC12815"/>
    <w:rsid w:val="7FE30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1078</Words>
  <Characters>2607</Characters>
  <Lines>0</Lines>
  <Paragraphs>0</Paragraphs>
  <TotalTime>11</TotalTime>
  <ScaleCrop>false</ScaleCrop>
  <LinksUpToDate>false</LinksUpToDate>
  <CharactersWithSpaces>2860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2025-09-09T14:21:00Z</dcterms:created>
  <dc:creator>鱼摆摆</dc:creator>
  <cp:lastModifiedBy>葛格</cp:lastModifiedBy>
  <dcterms:modified xsi:type="dcterms:W3CDTF">2025-09-16T01:04:49Z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AACD5A30C71E413A8B5347E929A74133_13</vt:lpwstr>
  </property>
  <property fmtid="{D5CDD505-2E9C-101B-9397-08002B2CF9AE}" pid="4" name="KSOTemplateDocerSaveRecord">
    <vt:lpwstr>eyJoZGlkIjoiODAyZTFlZGZhYjUyMzcxZTk3YjQ1YTQ3YmIwMzI2YzAiLCJ1c2VySWQiOiIxNDE4NzA0NjY1In0=</vt:lpwstr>
  </property>
</Properties>
</file>