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C34650">
      <w:pPr>
        <w:jc w:val="center"/>
        <w:rPr>
          <w:rStyle w:val="37"/>
          <w:rFonts w:eastAsia="方正小标宋简体"/>
          <w:color w:val="auto"/>
          <w:sz w:val="36"/>
          <w:szCs w:val="36"/>
        </w:rPr>
      </w:pPr>
    </w:p>
    <w:p w14:paraId="7A5DA88F">
      <w:pPr>
        <w:jc w:val="center"/>
        <w:rPr>
          <w:rStyle w:val="37"/>
          <w:rFonts w:eastAsia="方正小标宋简体"/>
          <w:bCs w:val="0"/>
          <w:color w:val="auto"/>
          <w:sz w:val="36"/>
          <w:szCs w:val="36"/>
        </w:rPr>
      </w:pPr>
      <w:r>
        <w:rPr>
          <w:rStyle w:val="37"/>
          <w:rFonts w:eastAsia="方正小标宋简体"/>
          <w:color w:val="auto"/>
          <w:sz w:val="36"/>
          <w:szCs w:val="36"/>
        </w:rPr>
        <w:t>浙江省科学技术奖公示信息表</w:t>
      </w:r>
      <w:r>
        <w:rPr>
          <w:rStyle w:val="37"/>
          <w:rFonts w:eastAsia="仿宋_GB2312"/>
          <w:color w:val="auto"/>
          <w:sz w:val="32"/>
          <w:szCs w:val="32"/>
        </w:rPr>
        <w:t>（单位提名）</w:t>
      </w:r>
    </w:p>
    <w:p w14:paraId="7A5DA890">
      <w:pPr>
        <w:spacing w:line="440" w:lineRule="exact"/>
        <w:rPr>
          <w:rFonts w:eastAsia="仿宋_GB2312"/>
          <w:sz w:val="28"/>
          <w:szCs w:val="24"/>
        </w:rPr>
      </w:pPr>
      <w:r>
        <w:rPr>
          <w:rFonts w:eastAsia="仿宋_GB2312"/>
          <w:sz w:val="28"/>
          <w:szCs w:val="24"/>
        </w:rPr>
        <w:t>提名奖项：（自然科学奖）</w:t>
      </w:r>
    </w:p>
    <w:tbl>
      <w:tblPr>
        <w:tblStyle w:val="15"/>
        <w:tblW w:w="8506"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9"/>
        <w:gridCol w:w="6237"/>
      </w:tblGrid>
      <w:tr w14:paraId="7A5DA8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2269" w:type="dxa"/>
            <w:vAlign w:val="center"/>
          </w:tcPr>
          <w:p w14:paraId="7A5DA891">
            <w:pPr>
              <w:jc w:val="center"/>
              <w:rPr>
                <w:rStyle w:val="37"/>
                <w:rFonts w:eastAsia="仿宋_GB2312"/>
                <w:b w:val="0"/>
                <w:color w:val="auto"/>
                <w:sz w:val="28"/>
              </w:rPr>
            </w:pPr>
            <w:r>
              <w:rPr>
                <w:rStyle w:val="37"/>
                <w:rFonts w:eastAsia="仿宋_GB2312"/>
                <w:color w:val="auto"/>
                <w:sz w:val="28"/>
              </w:rPr>
              <w:t>成果名称</w:t>
            </w:r>
          </w:p>
        </w:tc>
        <w:tc>
          <w:tcPr>
            <w:tcW w:w="6237" w:type="dxa"/>
            <w:vAlign w:val="center"/>
          </w:tcPr>
          <w:p w14:paraId="7A5DA892">
            <w:pPr>
              <w:jc w:val="center"/>
              <w:rPr>
                <w:rStyle w:val="37"/>
                <w:rFonts w:eastAsia="仿宋_GB2312"/>
                <w:b w:val="0"/>
                <w:color w:val="auto"/>
                <w:sz w:val="28"/>
              </w:rPr>
            </w:pPr>
            <w:bookmarkStart w:id="0" w:name="_GoBack"/>
            <w:r>
              <w:rPr>
                <w:rStyle w:val="37"/>
                <w:rFonts w:hint="eastAsia" w:eastAsia="仿宋_GB2312"/>
                <w:b w:val="0"/>
                <w:color w:val="auto"/>
                <w:sz w:val="28"/>
              </w:rPr>
              <w:t>肿瘤菌群促进乳腺癌转移</w:t>
            </w:r>
            <w:bookmarkEnd w:id="0"/>
          </w:p>
        </w:tc>
      </w:tr>
      <w:tr w14:paraId="7A5DA8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2269" w:type="dxa"/>
            <w:vAlign w:val="center"/>
          </w:tcPr>
          <w:p w14:paraId="7A5DA894">
            <w:pPr>
              <w:jc w:val="center"/>
              <w:rPr>
                <w:rStyle w:val="37"/>
                <w:rFonts w:eastAsia="仿宋_GB2312"/>
                <w:b w:val="0"/>
                <w:color w:val="auto"/>
                <w:sz w:val="28"/>
              </w:rPr>
            </w:pPr>
            <w:r>
              <w:rPr>
                <w:rStyle w:val="37"/>
                <w:rFonts w:eastAsia="仿宋_GB2312"/>
                <w:color w:val="auto"/>
                <w:sz w:val="28"/>
              </w:rPr>
              <w:t>提名等级</w:t>
            </w:r>
          </w:p>
        </w:tc>
        <w:tc>
          <w:tcPr>
            <w:tcW w:w="6237" w:type="dxa"/>
            <w:vAlign w:val="center"/>
          </w:tcPr>
          <w:p w14:paraId="7A5DA895">
            <w:pPr>
              <w:jc w:val="center"/>
              <w:rPr>
                <w:rStyle w:val="37"/>
                <w:rFonts w:eastAsia="仿宋_GB2312"/>
                <w:b w:val="0"/>
                <w:color w:val="auto"/>
                <w:sz w:val="28"/>
              </w:rPr>
            </w:pPr>
            <w:r>
              <w:rPr>
                <w:rStyle w:val="37"/>
                <w:rFonts w:hint="eastAsia" w:eastAsia="仿宋_GB2312"/>
                <w:b w:val="0"/>
                <w:color w:val="auto"/>
                <w:sz w:val="28"/>
              </w:rPr>
              <w:t>一等奖</w:t>
            </w:r>
          </w:p>
        </w:tc>
      </w:tr>
      <w:tr w14:paraId="7A5DA8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61" w:hRule="atLeast"/>
        </w:trPr>
        <w:tc>
          <w:tcPr>
            <w:tcW w:w="2269" w:type="dxa"/>
            <w:vAlign w:val="center"/>
          </w:tcPr>
          <w:p w14:paraId="7A5DA897">
            <w:pPr>
              <w:spacing w:line="440" w:lineRule="exact"/>
              <w:jc w:val="center"/>
              <w:rPr>
                <w:rFonts w:eastAsia="仿宋_GB2312"/>
                <w:bCs/>
                <w:sz w:val="28"/>
                <w:szCs w:val="24"/>
              </w:rPr>
            </w:pPr>
            <w:r>
              <w:rPr>
                <w:rFonts w:eastAsia="仿宋_GB2312"/>
                <w:bCs/>
                <w:sz w:val="28"/>
                <w:szCs w:val="24"/>
              </w:rPr>
              <w:t>提名书</w:t>
            </w:r>
          </w:p>
          <w:p w14:paraId="7A5DA898">
            <w:pPr>
              <w:spacing w:line="440" w:lineRule="exact"/>
              <w:jc w:val="center"/>
              <w:rPr>
                <w:rFonts w:eastAsia="仿宋_GB2312"/>
                <w:bCs/>
                <w:sz w:val="28"/>
                <w:szCs w:val="24"/>
              </w:rPr>
            </w:pPr>
            <w:r>
              <w:rPr>
                <w:rFonts w:eastAsia="仿宋_GB2312"/>
                <w:bCs/>
                <w:sz w:val="28"/>
                <w:szCs w:val="24"/>
              </w:rPr>
              <w:t>相关内容</w:t>
            </w:r>
          </w:p>
        </w:tc>
        <w:tc>
          <w:tcPr>
            <w:tcW w:w="6237" w:type="dxa"/>
            <w:vAlign w:val="center"/>
          </w:tcPr>
          <w:p w14:paraId="73643BA8">
            <w:pPr>
              <w:pStyle w:val="30"/>
              <w:numPr>
                <w:ilvl w:val="0"/>
                <w:numId w:val="1"/>
              </w:numPr>
              <w:spacing w:line="276" w:lineRule="auto"/>
              <w:rPr>
                <w:rFonts w:ascii="Times New Roman" w:hAnsi="Times New Roman" w:eastAsia="仿宋_GB2312" w:cs="Times New Roman"/>
                <w:bCs/>
                <w:sz w:val="24"/>
              </w:rPr>
            </w:pPr>
            <w:r>
              <w:rPr>
                <w:rFonts w:ascii="Times New Roman" w:hAnsi="Times New Roman" w:eastAsia="仿宋_GB2312" w:cs="Times New Roman"/>
                <w:bCs/>
                <w:sz w:val="24"/>
              </w:rPr>
              <w:t>Fu, A., et al., Tumor-resident intracellular microbiota promotes metastatic colonization in breast cancer. Cell, 2022. 185(8): p. 1356-1372 e26.</w:t>
            </w:r>
          </w:p>
          <w:p w14:paraId="615D1BD5">
            <w:pPr>
              <w:pStyle w:val="30"/>
              <w:numPr>
                <w:ilvl w:val="0"/>
                <w:numId w:val="1"/>
              </w:numPr>
              <w:spacing w:line="276" w:lineRule="auto"/>
              <w:rPr>
                <w:rFonts w:ascii="Times New Roman" w:hAnsi="Times New Roman" w:eastAsia="仿宋_GB2312" w:cs="Times New Roman"/>
                <w:bCs/>
                <w:sz w:val="24"/>
              </w:rPr>
            </w:pPr>
            <w:r>
              <w:rPr>
                <w:rFonts w:ascii="Times New Roman" w:hAnsi="Times New Roman" w:eastAsia="仿宋_GB2312" w:cs="Times New Roman"/>
                <w:bCs/>
                <w:sz w:val="24"/>
              </w:rPr>
              <w:t>Yao, B., et al., Quantification and characterization of mouse and human tissue-resident microbiota by qPCR and 16S sequencing. STAR Protoc, 2022. 3(4): p. 101765.</w:t>
            </w:r>
          </w:p>
          <w:p w14:paraId="456F3C33">
            <w:pPr>
              <w:pStyle w:val="30"/>
              <w:numPr>
                <w:ilvl w:val="0"/>
                <w:numId w:val="1"/>
              </w:numPr>
              <w:spacing w:line="276" w:lineRule="auto"/>
              <w:rPr>
                <w:rFonts w:ascii="Times New Roman" w:hAnsi="Times New Roman" w:eastAsia="仿宋_GB2312" w:cs="Times New Roman"/>
                <w:bCs/>
                <w:sz w:val="24"/>
              </w:rPr>
            </w:pPr>
            <w:r>
              <w:rPr>
                <w:rFonts w:ascii="Times New Roman" w:hAnsi="Times New Roman" w:eastAsia="仿宋_GB2312" w:cs="Times New Roman"/>
                <w:bCs/>
                <w:sz w:val="24"/>
              </w:rPr>
              <w:t>Dong, T., A. Fu, and S. Cai, Protocols for genetic labeling and tracing of Staphylococcus xylosus during tumor progression. STAR Protoc, 2022. 3(4): p. 101624.</w:t>
            </w:r>
          </w:p>
          <w:p w14:paraId="65AE023B">
            <w:pPr>
              <w:pStyle w:val="30"/>
              <w:numPr>
                <w:ilvl w:val="0"/>
                <w:numId w:val="1"/>
              </w:numPr>
              <w:spacing w:line="276" w:lineRule="auto"/>
              <w:rPr>
                <w:rFonts w:ascii="Times New Roman" w:hAnsi="Times New Roman" w:eastAsia="仿宋_GB2312" w:cs="Times New Roman"/>
                <w:bCs/>
                <w:sz w:val="24"/>
              </w:rPr>
            </w:pPr>
            <w:r>
              <w:rPr>
                <w:rFonts w:ascii="Times New Roman" w:hAnsi="Times New Roman" w:eastAsia="仿宋_GB2312" w:cs="Times New Roman"/>
                <w:bCs/>
                <w:sz w:val="24"/>
              </w:rPr>
              <w:t>Chen, Y., et al., A Versatile Tiling Light Sheet Microscope for Imaging of Cleared Tissues. Cell Rep, 2020. 33(5): p. 108349.</w:t>
            </w:r>
          </w:p>
          <w:p w14:paraId="7A5DA89B">
            <w:pPr>
              <w:pStyle w:val="30"/>
              <w:numPr>
                <w:ilvl w:val="0"/>
                <w:numId w:val="1"/>
              </w:numPr>
              <w:spacing w:line="276" w:lineRule="auto"/>
              <w:rPr>
                <w:rFonts w:ascii="Times New Roman" w:hAnsi="Times New Roman" w:eastAsia="仿宋_GB2312" w:cs="Times New Roman"/>
                <w:bCs/>
                <w:sz w:val="24"/>
              </w:rPr>
            </w:pPr>
            <w:r>
              <w:rPr>
                <w:rFonts w:ascii="Times New Roman" w:hAnsi="Times New Roman" w:eastAsia="仿宋_GB2312" w:cs="Times New Roman"/>
                <w:bCs/>
                <w:sz w:val="24"/>
              </w:rPr>
              <w:t>Bai, H., Lin, M., Meng, Y., Bai, H., and Cai, S. (2022). An improved CUT&amp;RUN method for regulation network reconstruction of low abundance transcription factor. Cell Signal 96, 110361.</w:t>
            </w:r>
          </w:p>
        </w:tc>
      </w:tr>
      <w:tr w14:paraId="7A5DA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8" w:hRule="atLeast"/>
        </w:trPr>
        <w:tc>
          <w:tcPr>
            <w:tcW w:w="2269" w:type="dxa"/>
            <w:tcBorders>
              <w:right w:val="single" w:color="auto" w:sz="4" w:space="0"/>
            </w:tcBorders>
            <w:vAlign w:val="center"/>
          </w:tcPr>
          <w:p w14:paraId="7A5DA89D">
            <w:pPr>
              <w:spacing w:line="440" w:lineRule="exact"/>
              <w:jc w:val="center"/>
              <w:rPr>
                <w:rFonts w:eastAsia="仿宋_GB2312"/>
                <w:bCs/>
                <w:sz w:val="28"/>
                <w:szCs w:val="24"/>
              </w:rPr>
            </w:pPr>
            <w:r>
              <w:rPr>
                <w:rFonts w:eastAsia="仿宋_GB2312"/>
                <w:bCs/>
                <w:sz w:val="28"/>
                <w:szCs w:val="24"/>
              </w:rPr>
              <w:t>主要完成人</w:t>
            </w:r>
          </w:p>
        </w:tc>
        <w:tc>
          <w:tcPr>
            <w:tcW w:w="6237" w:type="dxa"/>
            <w:tcBorders>
              <w:left w:val="single" w:color="auto" w:sz="4" w:space="0"/>
            </w:tcBorders>
            <w:vAlign w:val="center"/>
          </w:tcPr>
          <w:p w14:paraId="7A5DA89E">
            <w:pPr>
              <w:spacing w:line="440" w:lineRule="exact"/>
              <w:rPr>
                <w:rFonts w:eastAsia="仿宋_GB2312"/>
                <w:bCs/>
                <w:sz w:val="24"/>
                <w:szCs w:val="24"/>
              </w:rPr>
            </w:pPr>
            <w:r>
              <w:rPr>
                <w:rFonts w:hint="eastAsia" w:eastAsia="仿宋_GB2312"/>
                <w:bCs/>
                <w:sz w:val="24"/>
                <w:szCs w:val="24"/>
              </w:rPr>
              <w:t>蔡尚</w:t>
            </w:r>
            <w:r>
              <w:rPr>
                <w:rFonts w:eastAsia="仿宋_GB2312"/>
                <w:bCs/>
                <w:sz w:val="24"/>
                <w:szCs w:val="24"/>
              </w:rPr>
              <w:t>，排名1，</w:t>
            </w:r>
            <w:r>
              <w:rPr>
                <w:rFonts w:hint="eastAsia" w:eastAsia="仿宋_GB2312"/>
                <w:bCs/>
                <w:sz w:val="24"/>
                <w:szCs w:val="24"/>
              </w:rPr>
              <w:t>研究员</w:t>
            </w:r>
            <w:r>
              <w:rPr>
                <w:rFonts w:eastAsia="仿宋_GB2312"/>
                <w:bCs/>
                <w:sz w:val="24"/>
                <w:szCs w:val="24"/>
              </w:rPr>
              <w:t>，</w:t>
            </w:r>
            <w:r>
              <w:rPr>
                <w:rFonts w:hint="eastAsia" w:eastAsia="仿宋_GB2312"/>
                <w:bCs/>
                <w:sz w:val="24"/>
                <w:szCs w:val="24"/>
              </w:rPr>
              <w:t>西湖大学</w:t>
            </w:r>
            <w:r>
              <w:rPr>
                <w:rFonts w:eastAsia="仿宋_GB2312"/>
                <w:bCs/>
                <w:sz w:val="24"/>
                <w:szCs w:val="24"/>
              </w:rPr>
              <w:t>；</w:t>
            </w:r>
          </w:p>
          <w:p w14:paraId="28CAEB1A">
            <w:pPr>
              <w:spacing w:line="440" w:lineRule="exact"/>
              <w:rPr>
                <w:rFonts w:eastAsia="仿宋_GB2312"/>
                <w:bCs/>
                <w:sz w:val="24"/>
                <w:szCs w:val="24"/>
              </w:rPr>
            </w:pPr>
            <w:r>
              <w:rPr>
                <w:rFonts w:hint="eastAsia" w:eastAsia="仿宋_GB2312"/>
                <w:bCs/>
                <w:sz w:val="24"/>
                <w:szCs w:val="24"/>
              </w:rPr>
              <w:t>付爱坤，排名</w:t>
            </w:r>
            <w:r>
              <w:rPr>
                <w:rFonts w:eastAsia="仿宋_GB2312"/>
                <w:bCs/>
                <w:sz w:val="24"/>
                <w:szCs w:val="24"/>
              </w:rPr>
              <w:t>2</w:t>
            </w:r>
            <w:r>
              <w:rPr>
                <w:rFonts w:hint="eastAsia" w:eastAsia="仿宋_GB2312"/>
                <w:bCs/>
                <w:sz w:val="24"/>
                <w:szCs w:val="24"/>
              </w:rPr>
              <w:t>，研究员，浙江大学</w:t>
            </w:r>
          </w:p>
          <w:p w14:paraId="013FD01F">
            <w:pPr>
              <w:spacing w:line="440" w:lineRule="exact"/>
              <w:rPr>
                <w:rFonts w:eastAsia="仿宋_GB2312"/>
                <w:bCs/>
                <w:sz w:val="24"/>
                <w:szCs w:val="24"/>
              </w:rPr>
            </w:pPr>
            <w:r>
              <w:rPr>
                <w:rFonts w:hint="eastAsia" w:eastAsia="仿宋_GB2312"/>
                <w:bCs/>
                <w:sz w:val="24"/>
                <w:szCs w:val="24"/>
              </w:rPr>
              <w:t>尧冰清，排名3，博士研究生，西湖大学</w:t>
            </w:r>
          </w:p>
          <w:p w14:paraId="0C1A4E85">
            <w:pPr>
              <w:spacing w:line="440" w:lineRule="exact"/>
              <w:rPr>
                <w:rFonts w:eastAsia="仿宋_GB2312"/>
                <w:bCs/>
                <w:sz w:val="24"/>
                <w:szCs w:val="24"/>
              </w:rPr>
            </w:pPr>
            <w:r>
              <w:rPr>
                <w:rFonts w:hint="eastAsia" w:eastAsia="仿宋_GB2312"/>
                <w:bCs/>
                <w:sz w:val="24"/>
                <w:szCs w:val="24"/>
              </w:rPr>
              <w:t>董婷婷，排名</w:t>
            </w:r>
            <w:r>
              <w:rPr>
                <w:rFonts w:eastAsia="仿宋_GB2312"/>
                <w:bCs/>
                <w:sz w:val="24"/>
                <w:szCs w:val="24"/>
              </w:rPr>
              <w:t>4</w:t>
            </w:r>
            <w:r>
              <w:rPr>
                <w:rFonts w:hint="eastAsia" w:eastAsia="仿宋_GB2312"/>
                <w:bCs/>
                <w:sz w:val="24"/>
                <w:szCs w:val="24"/>
              </w:rPr>
              <w:t>，博士研究生，西湖大学</w:t>
            </w:r>
          </w:p>
          <w:p w14:paraId="7A5DA8A1">
            <w:pPr>
              <w:spacing w:line="440" w:lineRule="exact"/>
              <w:rPr>
                <w:rFonts w:eastAsia="仿宋_GB2312"/>
                <w:bCs/>
                <w:sz w:val="24"/>
                <w:szCs w:val="24"/>
              </w:rPr>
            </w:pPr>
            <w:r>
              <w:rPr>
                <w:rFonts w:hint="eastAsia" w:eastAsia="仿宋_GB2312"/>
                <w:bCs/>
                <w:sz w:val="24"/>
                <w:szCs w:val="24"/>
              </w:rPr>
              <w:t>贾洁敏，排名</w:t>
            </w:r>
            <w:r>
              <w:rPr>
                <w:rFonts w:eastAsia="仿宋_GB2312"/>
                <w:bCs/>
                <w:sz w:val="24"/>
                <w:szCs w:val="24"/>
              </w:rPr>
              <w:t>5，</w:t>
            </w:r>
            <w:r>
              <w:rPr>
                <w:rFonts w:hint="eastAsia" w:eastAsia="仿宋_GB2312"/>
                <w:bCs/>
                <w:sz w:val="24"/>
                <w:szCs w:val="24"/>
              </w:rPr>
              <w:t>研究员</w:t>
            </w:r>
            <w:r>
              <w:rPr>
                <w:rFonts w:eastAsia="仿宋_GB2312"/>
                <w:bCs/>
                <w:sz w:val="24"/>
                <w:szCs w:val="24"/>
              </w:rPr>
              <w:t>，</w:t>
            </w:r>
            <w:r>
              <w:rPr>
                <w:rFonts w:hint="eastAsia" w:eastAsia="仿宋_GB2312"/>
                <w:bCs/>
                <w:sz w:val="24"/>
                <w:szCs w:val="24"/>
              </w:rPr>
              <w:t>西湖大学</w:t>
            </w:r>
            <w:r>
              <w:rPr>
                <w:rFonts w:eastAsia="仿宋_GB2312"/>
                <w:bCs/>
                <w:sz w:val="24"/>
                <w:szCs w:val="24"/>
              </w:rPr>
              <w:t>；</w:t>
            </w:r>
          </w:p>
        </w:tc>
      </w:tr>
      <w:tr w14:paraId="7A5DA8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6" w:hRule="atLeast"/>
        </w:trPr>
        <w:tc>
          <w:tcPr>
            <w:tcW w:w="2269" w:type="dxa"/>
            <w:tcBorders>
              <w:right w:val="single" w:color="auto" w:sz="4" w:space="0"/>
            </w:tcBorders>
            <w:vAlign w:val="center"/>
          </w:tcPr>
          <w:p w14:paraId="7A5DA8A3">
            <w:pPr>
              <w:spacing w:line="440" w:lineRule="exact"/>
              <w:jc w:val="center"/>
              <w:rPr>
                <w:rFonts w:eastAsia="仿宋"/>
                <w:bCs/>
                <w:sz w:val="24"/>
                <w:szCs w:val="24"/>
              </w:rPr>
            </w:pPr>
            <w:r>
              <w:rPr>
                <w:rFonts w:eastAsia="仿宋"/>
                <w:bCs/>
                <w:sz w:val="28"/>
                <w:szCs w:val="24"/>
              </w:rPr>
              <w:t>主要完成单位</w:t>
            </w:r>
          </w:p>
        </w:tc>
        <w:tc>
          <w:tcPr>
            <w:tcW w:w="6237" w:type="dxa"/>
            <w:tcBorders>
              <w:left w:val="single" w:color="auto" w:sz="4" w:space="0"/>
            </w:tcBorders>
            <w:vAlign w:val="center"/>
          </w:tcPr>
          <w:p w14:paraId="7A5DA8A4">
            <w:pPr>
              <w:spacing w:line="440" w:lineRule="exact"/>
              <w:jc w:val="left"/>
              <w:rPr>
                <w:rFonts w:eastAsia="仿宋_GB2312"/>
                <w:bCs/>
                <w:sz w:val="24"/>
                <w:szCs w:val="24"/>
              </w:rPr>
            </w:pPr>
            <w:r>
              <w:rPr>
                <w:rFonts w:eastAsia="仿宋_GB2312"/>
                <w:bCs/>
                <w:sz w:val="24"/>
                <w:szCs w:val="24"/>
              </w:rPr>
              <w:t>1.</w:t>
            </w:r>
            <w:r>
              <w:rPr>
                <w:rFonts w:hint="eastAsia" w:eastAsia="仿宋_GB2312"/>
                <w:bCs/>
                <w:sz w:val="24"/>
                <w:szCs w:val="24"/>
              </w:rPr>
              <w:t>西湖实验室（生命科学和生物医学浙江省实验室）</w:t>
            </w:r>
          </w:p>
          <w:p w14:paraId="7A5DA8A7">
            <w:pPr>
              <w:spacing w:line="440" w:lineRule="exact"/>
              <w:jc w:val="left"/>
              <w:rPr>
                <w:rFonts w:eastAsia="仿宋_GB2312"/>
                <w:bCs/>
                <w:sz w:val="24"/>
                <w:szCs w:val="24"/>
              </w:rPr>
            </w:pPr>
            <w:r>
              <w:rPr>
                <w:rFonts w:eastAsia="仿宋_GB2312"/>
                <w:bCs/>
                <w:sz w:val="24"/>
                <w:szCs w:val="24"/>
              </w:rPr>
              <w:t>2.</w:t>
            </w:r>
            <w:r>
              <w:rPr>
                <w:rFonts w:hint="eastAsia" w:eastAsia="仿宋_GB2312"/>
                <w:bCs/>
                <w:sz w:val="24"/>
                <w:szCs w:val="24"/>
              </w:rPr>
              <w:t>西湖大学</w:t>
            </w:r>
          </w:p>
        </w:tc>
      </w:tr>
      <w:tr w14:paraId="7A5DA8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trPr>
        <w:tc>
          <w:tcPr>
            <w:tcW w:w="2269" w:type="dxa"/>
            <w:vAlign w:val="center"/>
          </w:tcPr>
          <w:p w14:paraId="7A5DA8A9">
            <w:pPr>
              <w:jc w:val="center"/>
              <w:rPr>
                <w:rStyle w:val="37"/>
                <w:rFonts w:eastAsia="仿宋_GB2312"/>
                <w:b w:val="0"/>
                <w:color w:val="auto"/>
                <w:sz w:val="28"/>
                <w:szCs w:val="28"/>
              </w:rPr>
            </w:pPr>
            <w:r>
              <w:rPr>
                <w:rStyle w:val="37"/>
                <w:rFonts w:eastAsia="仿宋_GB2312"/>
                <w:color w:val="auto"/>
                <w:sz w:val="28"/>
                <w:szCs w:val="28"/>
              </w:rPr>
              <w:t>提名单位</w:t>
            </w:r>
          </w:p>
        </w:tc>
        <w:tc>
          <w:tcPr>
            <w:tcW w:w="6237" w:type="dxa"/>
            <w:vAlign w:val="center"/>
          </w:tcPr>
          <w:p w14:paraId="7A5DA8AA">
            <w:pPr>
              <w:contextualSpacing/>
              <w:jc w:val="center"/>
              <w:rPr>
                <w:rStyle w:val="37"/>
                <w:b w:val="0"/>
                <w:color w:val="auto"/>
              </w:rPr>
            </w:pPr>
            <w:r>
              <w:rPr>
                <w:rFonts w:eastAsia="仿宋_GB2312"/>
                <w:sz w:val="24"/>
                <w:szCs w:val="24"/>
              </w:rPr>
              <w:t>西湖</w:t>
            </w:r>
            <w:r>
              <w:rPr>
                <w:rFonts w:hint="eastAsia" w:eastAsia="仿宋_GB2312"/>
                <w:sz w:val="24"/>
                <w:szCs w:val="24"/>
              </w:rPr>
              <w:t>大学</w:t>
            </w:r>
          </w:p>
        </w:tc>
      </w:tr>
      <w:tr w14:paraId="7A5DA8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3" w:hRule="atLeast"/>
        </w:trPr>
        <w:tc>
          <w:tcPr>
            <w:tcW w:w="2269" w:type="dxa"/>
            <w:vAlign w:val="center"/>
          </w:tcPr>
          <w:p w14:paraId="7A5DA8AC">
            <w:pPr>
              <w:jc w:val="center"/>
              <w:rPr>
                <w:rStyle w:val="37"/>
                <w:rFonts w:eastAsia="仿宋_GB2312"/>
                <w:b w:val="0"/>
                <w:color w:val="auto"/>
                <w:sz w:val="28"/>
                <w:szCs w:val="28"/>
              </w:rPr>
            </w:pPr>
            <w:r>
              <w:rPr>
                <w:rStyle w:val="37"/>
                <w:rFonts w:eastAsia="仿宋_GB2312"/>
                <w:color w:val="auto"/>
                <w:sz w:val="28"/>
                <w:szCs w:val="28"/>
              </w:rPr>
              <w:t>提名意见</w:t>
            </w:r>
          </w:p>
        </w:tc>
        <w:tc>
          <w:tcPr>
            <w:tcW w:w="6237" w:type="dxa"/>
            <w:vAlign w:val="center"/>
          </w:tcPr>
          <w:p w14:paraId="6217586D">
            <w:pPr>
              <w:contextualSpacing/>
              <w:rPr>
                <w:rFonts w:eastAsia="仿宋_GB2312"/>
                <w:bCs/>
                <w:sz w:val="24"/>
                <w:szCs w:val="24"/>
              </w:rPr>
            </w:pPr>
            <w:r>
              <w:rPr>
                <w:rFonts w:eastAsia="仿宋_GB2312"/>
                <w:bCs/>
                <w:sz w:val="24"/>
                <w:szCs w:val="24"/>
              </w:rPr>
              <w:t>该系列创新成果</w:t>
            </w:r>
            <w:r>
              <w:rPr>
                <w:rFonts w:hint="eastAsia" w:eastAsia="仿宋_GB2312"/>
                <w:bCs/>
                <w:sz w:val="24"/>
                <w:szCs w:val="24"/>
              </w:rPr>
              <w:t>揭示了肿瘤微生态环境对癌症转移的跨物种调控关键作用，拓展了肿瘤研究长期以来主要集中在遗传、表观、代谢等细胞因素的研究方向，为肿瘤的系统性研究以及临床肿瘤的微生物诊疗打开新的思路：</w:t>
            </w:r>
          </w:p>
          <w:p w14:paraId="03599EAB">
            <w:pPr>
              <w:pStyle w:val="30"/>
              <w:numPr>
                <w:ilvl w:val="0"/>
                <w:numId w:val="2"/>
              </w:numPr>
              <w:rPr>
                <w:rStyle w:val="37"/>
                <w:rFonts w:eastAsia="仿宋_GB2312"/>
                <w:b w:val="0"/>
                <w:color w:val="auto"/>
              </w:rPr>
            </w:pPr>
            <w:r>
              <w:rPr>
                <w:rStyle w:val="37"/>
                <w:rFonts w:hint="eastAsia" w:eastAsia="仿宋_GB2312"/>
                <w:b w:val="0"/>
                <w:color w:val="auto"/>
              </w:rPr>
              <w:t>该系列创新成果搭建了一系列系统性研究肿瘤菌群的技术平台：通过两步富集法有效提高灵敏度与信噪比，将组织细菌的检测灵敏度提高到细菌：细胞=1:10</w:t>
            </w:r>
            <w:r>
              <w:rPr>
                <w:rStyle w:val="37"/>
                <w:rFonts w:hint="eastAsia" w:eastAsia="仿宋_GB2312"/>
                <w:b w:val="0"/>
                <w:color w:val="auto"/>
                <w:vertAlign w:val="superscript"/>
              </w:rPr>
              <w:t>5</w:t>
            </w:r>
            <w:r>
              <w:rPr>
                <w:rStyle w:val="37"/>
                <w:rFonts w:eastAsia="仿宋_GB2312"/>
                <w:b w:val="0"/>
                <w:color w:val="auto"/>
              </w:rPr>
              <w:t xml:space="preserve"> </w:t>
            </w:r>
            <w:r>
              <w:rPr>
                <w:rStyle w:val="37"/>
                <w:rFonts w:hint="eastAsia" w:eastAsia="仿宋_GB2312"/>
                <w:b w:val="0"/>
                <w:color w:val="auto"/>
              </w:rPr>
              <w:t>，为研究肿瘤菌群的行为功能打下重要基础；通过细菌遗传示踪技术追踪肿瘤转移过程中组织内细菌的动态变迁；通过大组织透明化高精度成像技术实现癌症微小转移灶的系统性分析；通过转录因子cut</w:t>
            </w:r>
            <w:r>
              <w:rPr>
                <w:rStyle w:val="37"/>
                <w:rFonts w:eastAsia="仿宋_GB2312"/>
                <w:b w:val="0"/>
                <w:color w:val="auto"/>
              </w:rPr>
              <w:t>&amp;</w:t>
            </w:r>
            <w:r>
              <w:rPr>
                <w:rStyle w:val="37"/>
                <w:rFonts w:hint="eastAsia" w:eastAsia="仿宋_GB2312"/>
                <w:b w:val="0"/>
                <w:color w:val="auto"/>
              </w:rPr>
              <w:t>tag技术优化实现低丰度转录因子下游基因的准确鉴定，为机制分析打下重要基础。</w:t>
            </w:r>
          </w:p>
          <w:p w14:paraId="48FFCE00">
            <w:pPr>
              <w:pStyle w:val="30"/>
              <w:numPr>
                <w:ilvl w:val="0"/>
                <w:numId w:val="2"/>
              </w:numPr>
              <w:rPr>
                <w:rStyle w:val="37"/>
                <w:rFonts w:eastAsia="仿宋_GB2312"/>
                <w:b w:val="0"/>
                <w:color w:val="auto"/>
              </w:rPr>
            </w:pPr>
            <w:r>
              <w:rPr>
                <w:rStyle w:val="37"/>
                <w:rFonts w:hint="eastAsia" w:eastAsia="仿宋_GB2312"/>
                <w:b w:val="0"/>
                <w:color w:val="auto"/>
              </w:rPr>
              <w:t>该系列创新成果系统性分析了乳腺癌微生态环境的组成结构，通过多组学鉴定了肿瘤组织驻留细菌，并报道了胞内细菌的特殊存在形式，揭示了肿瘤菌群在乳腺癌转移过程中的关键作用。为诊断以及治疗肿瘤开辟了新的思路，提供了新的策略。</w:t>
            </w:r>
          </w:p>
          <w:p w14:paraId="7711F149">
            <w:pPr>
              <w:pStyle w:val="30"/>
              <w:numPr>
                <w:ilvl w:val="0"/>
                <w:numId w:val="2"/>
              </w:numPr>
              <w:rPr>
                <w:rStyle w:val="37"/>
                <w:rFonts w:eastAsia="仿宋_GB2312"/>
                <w:b w:val="0"/>
                <w:color w:val="auto"/>
              </w:rPr>
            </w:pPr>
            <w:r>
              <w:rPr>
                <w:rStyle w:val="37"/>
                <w:rFonts w:hint="eastAsia" w:eastAsia="仿宋_GB2312"/>
                <w:b w:val="0"/>
                <w:color w:val="auto"/>
              </w:rPr>
              <w:t>该系列创新研究成果解析了肿瘤菌群促进肿瘤转移的关键分子机制，鉴定了细胞骨架调节是肿瘤胞内菌促进癌细胞转移，提高生存能力的关键因素，为阻断肿瘤转移提供了新的分子靶点。</w:t>
            </w:r>
          </w:p>
          <w:p w14:paraId="7A5DA8AD">
            <w:pPr>
              <w:pStyle w:val="30"/>
              <w:ind w:left="61" w:firstLine="283" w:firstLineChars="118"/>
              <w:rPr>
                <w:rStyle w:val="37"/>
                <w:rFonts w:eastAsia="仿宋_GB2312"/>
                <w:b w:val="0"/>
                <w:color w:val="auto"/>
              </w:rPr>
            </w:pPr>
            <w:r>
              <w:rPr>
                <w:rStyle w:val="37"/>
                <w:rFonts w:hint="eastAsia" w:eastAsia="仿宋_GB2312"/>
                <w:b w:val="0"/>
                <w:color w:val="auto"/>
              </w:rPr>
              <w:t>综上，该系列研究首次揭示了影响肿瘤恶化转移的细菌因素，为通过微生物诊断、治疗癌症奠定坚实理论基础。提名该项目为自然科学一等奖。</w:t>
            </w:r>
          </w:p>
        </w:tc>
      </w:tr>
    </w:tbl>
    <w:p w14:paraId="7A5DA8AF">
      <w:pPr>
        <w:adjustRightInd w:val="0"/>
        <w:snapToGrid w:val="0"/>
        <w:spacing w:line="560" w:lineRule="exact"/>
        <w:rPr>
          <w:rFonts w:eastAsia="仿宋_GB2312"/>
          <w:sz w:val="32"/>
          <w:szCs w:val="32"/>
        </w:rPr>
      </w:pPr>
    </w:p>
    <w:p w14:paraId="7A5DA8B0"/>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8781779A-2F8B-4AD5-8ED0-D7D26B34ECAE}"/>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2" w:fontKey="{D5DADE81-F42A-4293-A177-16041C852D6E}"/>
  </w:font>
  <w:font w:name="仿宋">
    <w:panose1 w:val="02010609060101010101"/>
    <w:charset w:val="86"/>
    <w:family w:val="modern"/>
    <w:pitch w:val="default"/>
    <w:sig w:usb0="800002BF" w:usb1="38CF7CFA" w:usb2="00000016" w:usb3="00000000" w:csb0="00040001" w:csb1="00000000"/>
    <w:embedRegular r:id="rId3" w:fontKey="{18CD5D4E-021C-4F5E-B115-3D69560F2C06}"/>
  </w:font>
  <w:font w:name="方正小标宋简体">
    <w:panose1 w:val="02000000000000000000"/>
    <w:charset w:val="86"/>
    <w:family w:val="script"/>
    <w:pitch w:val="default"/>
    <w:sig w:usb0="A00002BF" w:usb1="184F6CFA" w:usb2="00000012" w:usb3="00000000" w:csb0="00040001" w:csb1="00000000"/>
    <w:embedRegular r:id="rId4" w:fontKey="{60C583F2-9EAA-4460-8E10-B5475BD435B9}"/>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6D51B9"/>
    <w:multiLevelType w:val="multilevel"/>
    <w:tmpl w:val="016D51B9"/>
    <w:lvl w:ilvl="0" w:tentative="0">
      <w:start w:val="1"/>
      <w:numFmt w:val="decimal"/>
      <w:lvlText w:val="%1."/>
      <w:lvlJc w:val="left"/>
      <w:pPr>
        <w:ind w:left="360" w:hanging="360"/>
      </w:pPr>
      <w:rPr>
        <w:rFonts w:hint="default" w:eastAsia="宋体"/>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8547F2D"/>
    <w:multiLevelType w:val="multilevel"/>
    <w:tmpl w:val="48547F2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AFF"/>
    <w:rsid w:val="000335DB"/>
    <w:rsid w:val="00046BC9"/>
    <w:rsid w:val="000626DF"/>
    <w:rsid w:val="00095D89"/>
    <w:rsid w:val="000D3F50"/>
    <w:rsid w:val="000D6155"/>
    <w:rsid w:val="00185C85"/>
    <w:rsid w:val="001B4230"/>
    <w:rsid w:val="0027419D"/>
    <w:rsid w:val="002917CD"/>
    <w:rsid w:val="00302803"/>
    <w:rsid w:val="003254E7"/>
    <w:rsid w:val="00341CA1"/>
    <w:rsid w:val="0037740B"/>
    <w:rsid w:val="003B15A5"/>
    <w:rsid w:val="00400775"/>
    <w:rsid w:val="00455E2E"/>
    <w:rsid w:val="004A10DF"/>
    <w:rsid w:val="004A174E"/>
    <w:rsid w:val="005252C6"/>
    <w:rsid w:val="005257B3"/>
    <w:rsid w:val="00545FE1"/>
    <w:rsid w:val="00587629"/>
    <w:rsid w:val="005979B3"/>
    <w:rsid w:val="005E01E6"/>
    <w:rsid w:val="005E6948"/>
    <w:rsid w:val="00604865"/>
    <w:rsid w:val="00611E28"/>
    <w:rsid w:val="0061754B"/>
    <w:rsid w:val="006346C1"/>
    <w:rsid w:val="00670DA1"/>
    <w:rsid w:val="00672082"/>
    <w:rsid w:val="0068645D"/>
    <w:rsid w:val="006F641C"/>
    <w:rsid w:val="007B5289"/>
    <w:rsid w:val="007D501A"/>
    <w:rsid w:val="00801C46"/>
    <w:rsid w:val="00802C7C"/>
    <w:rsid w:val="00884709"/>
    <w:rsid w:val="008A2D93"/>
    <w:rsid w:val="008A4AFF"/>
    <w:rsid w:val="008F4578"/>
    <w:rsid w:val="00903517"/>
    <w:rsid w:val="00903C9A"/>
    <w:rsid w:val="00953DE7"/>
    <w:rsid w:val="00987EE2"/>
    <w:rsid w:val="009A7A74"/>
    <w:rsid w:val="00AB1783"/>
    <w:rsid w:val="00AC3DFD"/>
    <w:rsid w:val="00AF12BA"/>
    <w:rsid w:val="00B479A0"/>
    <w:rsid w:val="00B54D7B"/>
    <w:rsid w:val="00BE06CD"/>
    <w:rsid w:val="00C0130F"/>
    <w:rsid w:val="00C0695A"/>
    <w:rsid w:val="00C1790B"/>
    <w:rsid w:val="00C46FCF"/>
    <w:rsid w:val="00C91D8A"/>
    <w:rsid w:val="00CB69CC"/>
    <w:rsid w:val="00CF370E"/>
    <w:rsid w:val="00D21F22"/>
    <w:rsid w:val="00D45242"/>
    <w:rsid w:val="00D57277"/>
    <w:rsid w:val="00D62634"/>
    <w:rsid w:val="00D81779"/>
    <w:rsid w:val="00D92BFE"/>
    <w:rsid w:val="00DC2EF1"/>
    <w:rsid w:val="00E06B26"/>
    <w:rsid w:val="00E14342"/>
    <w:rsid w:val="00E14F3B"/>
    <w:rsid w:val="00E16BBE"/>
    <w:rsid w:val="00E2408D"/>
    <w:rsid w:val="00E51646"/>
    <w:rsid w:val="00E92A1F"/>
    <w:rsid w:val="00EE52AA"/>
    <w:rsid w:val="00F04B5B"/>
    <w:rsid w:val="00F625EA"/>
    <w:rsid w:val="00FB5812"/>
    <w:rsid w:val="00FD37E8"/>
    <w:rsid w:val="2BD65C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0"/>
      <w:lang w:val="en-US" w:eastAsia="zh-CN" w:bidi="ar-SA"/>
      <w14:ligatures w14:val="none"/>
    </w:rPr>
  </w:style>
  <w:style w:type="paragraph" w:styleId="2">
    <w:name w:val="heading 1"/>
    <w:basedOn w:val="1"/>
    <w:next w:val="1"/>
    <w:link w:val="17"/>
    <w:qFormat/>
    <w:uiPriority w:val="9"/>
    <w:pPr>
      <w:keepNext/>
      <w:keepLines/>
      <w:spacing w:before="480" w:after="80"/>
      <w:jc w:val="left"/>
      <w:outlineLvl w:val="0"/>
    </w:pPr>
    <w:rPr>
      <w:rFonts w:asciiTheme="majorHAnsi" w:hAnsiTheme="majorHAnsi" w:eastAsiaTheme="majorEastAsia" w:cstheme="majorBidi"/>
      <w:color w:val="104862" w:themeColor="accent1" w:themeShade="BF"/>
      <w:sz w:val="48"/>
      <w:szCs w:val="48"/>
      <w14:ligatures w14:val="standardContextual"/>
    </w:rPr>
  </w:style>
  <w:style w:type="paragraph" w:styleId="3">
    <w:name w:val="heading 2"/>
    <w:basedOn w:val="1"/>
    <w:next w:val="1"/>
    <w:link w:val="18"/>
    <w:semiHidden/>
    <w:unhideWhenUsed/>
    <w:qFormat/>
    <w:uiPriority w:val="9"/>
    <w:pPr>
      <w:keepNext/>
      <w:keepLines/>
      <w:spacing w:before="160" w:after="80"/>
      <w:jc w:val="left"/>
      <w:outlineLvl w:val="1"/>
    </w:pPr>
    <w:rPr>
      <w:rFonts w:asciiTheme="majorHAnsi" w:hAnsiTheme="majorHAnsi" w:eastAsiaTheme="majorEastAsia" w:cstheme="majorBidi"/>
      <w:color w:val="104862" w:themeColor="accent1" w:themeShade="BF"/>
      <w:sz w:val="40"/>
      <w:szCs w:val="40"/>
      <w14:ligatures w14:val="standardContextual"/>
    </w:rPr>
  </w:style>
  <w:style w:type="paragraph" w:styleId="4">
    <w:name w:val="heading 3"/>
    <w:basedOn w:val="1"/>
    <w:next w:val="1"/>
    <w:link w:val="19"/>
    <w:semiHidden/>
    <w:unhideWhenUsed/>
    <w:qFormat/>
    <w:uiPriority w:val="9"/>
    <w:pPr>
      <w:keepNext/>
      <w:keepLines/>
      <w:spacing w:before="160" w:after="80"/>
      <w:jc w:val="left"/>
      <w:outlineLvl w:val="2"/>
    </w:pPr>
    <w:rPr>
      <w:rFonts w:asciiTheme="majorHAnsi" w:hAnsiTheme="majorHAnsi" w:eastAsiaTheme="majorEastAsia" w:cstheme="majorBidi"/>
      <w:color w:val="104862" w:themeColor="accent1" w:themeShade="BF"/>
      <w:sz w:val="32"/>
      <w:szCs w:val="32"/>
      <w14:ligatures w14:val="standardContextual"/>
    </w:rPr>
  </w:style>
  <w:style w:type="paragraph" w:styleId="5">
    <w:name w:val="heading 4"/>
    <w:basedOn w:val="1"/>
    <w:next w:val="1"/>
    <w:link w:val="20"/>
    <w:semiHidden/>
    <w:unhideWhenUsed/>
    <w:qFormat/>
    <w:uiPriority w:val="9"/>
    <w:pPr>
      <w:keepNext/>
      <w:keepLines/>
      <w:spacing w:before="80" w:after="40"/>
      <w:jc w:val="left"/>
      <w:outlineLvl w:val="3"/>
    </w:pPr>
    <w:rPr>
      <w:rFonts w:asciiTheme="minorHAnsi" w:hAnsiTheme="minorHAnsi" w:eastAsiaTheme="minorEastAsia" w:cstheme="majorBidi"/>
      <w:color w:val="104862" w:themeColor="accent1" w:themeShade="BF"/>
      <w:sz w:val="28"/>
      <w:szCs w:val="28"/>
      <w14:ligatures w14:val="standardContextual"/>
    </w:rPr>
  </w:style>
  <w:style w:type="paragraph" w:styleId="6">
    <w:name w:val="heading 5"/>
    <w:basedOn w:val="1"/>
    <w:next w:val="1"/>
    <w:link w:val="21"/>
    <w:semiHidden/>
    <w:unhideWhenUsed/>
    <w:qFormat/>
    <w:uiPriority w:val="9"/>
    <w:pPr>
      <w:keepNext/>
      <w:keepLines/>
      <w:spacing w:before="80" w:after="40"/>
      <w:jc w:val="left"/>
      <w:outlineLvl w:val="4"/>
    </w:pPr>
    <w:rPr>
      <w:rFonts w:asciiTheme="minorHAnsi" w:hAnsiTheme="minorHAnsi" w:eastAsiaTheme="minorEastAsia" w:cstheme="majorBidi"/>
      <w:color w:val="104862" w:themeColor="accent1" w:themeShade="BF"/>
      <w:sz w:val="24"/>
      <w:szCs w:val="24"/>
      <w14:ligatures w14:val="standardContextual"/>
    </w:rPr>
  </w:style>
  <w:style w:type="paragraph" w:styleId="7">
    <w:name w:val="heading 6"/>
    <w:basedOn w:val="1"/>
    <w:next w:val="1"/>
    <w:link w:val="22"/>
    <w:semiHidden/>
    <w:unhideWhenUsed/>
    <w:qFormat/>
    <w:uiPriority w:val="9"/>
    <w:pPr>
      <w:keepNext/>
      <w:keepLines/>
      <w:spacing w:before="40" w:after="0"/>
      <w:jc w:val="left"/>
      <w:outlineLvl w:val="5"/>
    </w:pPr>
    <w:rPr>
      <w:rFonts w:asciiTheme="minorHAnsi" w:hAnsiTheme="minorHAnsi" w:eastAsiaTheme="minorEastAsia" w:cstheme="majorBidi"/>
      <w:b/>
      <w:bCs/>
      <w:color w:val="104862" w:themeColor="accent1" w:themeShade="BF"/>
      <w:sz w:val="22"/>
      <w:szCs w:val="24"/>
      <w14:ligatures w14:val="standardContextual"/>
    </w:rPr>
  </w:style>
  <w:style w:type="paragraph" w:styleId="8">
    <w:name w:val="heading 7"/>
    <w:basedOn w:val="1"/>
    <w:next w:val="1"/>
    <w:link w:val="23"/>
    <w:semiHidden/>
    <w:unhideWhenUsed/>
    <w:qFormat/>
    <w:uiPriority w:val="9"/>
    <w:pPr>
      <w:keepNext/>
      <w:keepLines/>
      <w:spacing w:before="40" w:after="0"/>
      <w:jc w:val="left"/>
      <w:outlineLvl w:val="6"/>
    </w:pPr>
    <w:rPr>
      <w:rFonts w:asciiTheme="minorHAnsi" w:hAnsiTheme="minorHAnsi" w:eastAsiaTheme="minorEastAsia" w:cstheme="majorBidi"/>
      <w:b/>
      <w:bCs/>
      <w:color w:val="595959" w:themeColor="text1" w:themeTint="A6"/>
      <w:sz w:val="22"/>
      <w:szCs w:val="24"/>
      <w14:textFill>
        <w14:solidFill>
          <w14:schemeClr w14:val="tx1">
            <w14:lumMod w14:val="65000"/>
            <w14:lumOff w14:val="35000"/>
          </w14:schemeClr>
        </w14:solidFill>
      </w14:textFill>
      <w14:ligatures w14:val="standardContextual"/>
    </w:rPr>
  </w:style>
  <w:style w:type="paragraph" w:styleId="9">
    <w:name w:val="heading 8"/>
    <w:basedOn w:val="1"/>
    <w:next w:val="1"/>
    <w:link w:val="24"/>
    <w:semiHidden/>
    <w:unhideWhenUsed/>
    <w:qFormat/>
    <w:uiPriority w:val="9"/>
    <w:pPr>
      <w:keepNext/>
      <w:keepLines/>
      <w:spacing w:after="0"/>
      <w:jc w:val="left"/>
      <w:outlineLvl w:val="7"/>
    </w:pPr>
    <w:rPr>
      <w:rFonts w:asciiTheme="minorHAnsi" w:hAnsiTheme="minorHAnsi" w:eastAsiaTheme="minorEastAsia" w:cstheme="majorBidi"/>
      <w:color w:val="595959" w:themeColor="text1" w:themeTint="A6"/>
      <w:sz w:val="22"/>
      <w:szCs w:val="24"/>
      <w14:textFill>
        <w14:solidFill>
          <w14:schemeClr w14:val="tx1">
            <w14:lumMod w14:val="65000"/>
            <w14:lumOff w14:val="35000"/>
          </w14:schemeClr>
        </w14:solidFill>
      </w14:textFill>
      <w14:ligatures w14:val="standardContextual"/>
    </w:rPr>
  </w:style>
  <w:style w:type="paragraph" w:styleId="10">
    <w:name w:val="heading 9"/>
    <w:basedOn w:val="1"/>
    <w:next w:val="1"/>
    <w:link w:val="25"/>
    <w:semiHidden/>
    <w:unhideWhenUsed/>
    <w:qFormat/>
    <w:uiPriority w:val="9"/>
    <w:pPr>
      <w:keepNext/>
      <w:keepLines/>
      <w:spacing w:after="0"/>
      <w:jc w:val="left"/>
      <w:outlineLvl w:val="8"/>
    </w:pPr>
    <w:rPr>
      <w:rFonts w:asciiTheme="minorHAnsi" w:hAnsiTheme="minorHAnsi" w:eastAsiaTheme="majorEastAsia" w:cstheme="majorBidi"/>
      <w:color w:val="595959" w:themeColor="text1" w:themeTint="A6"/>
      <w:sz w:val="22"/>
      <w:szCs w:val="24"/>
      <w14:textFill>
        <w14:solidFill>
          <w14:schemeClr w14:val="tx1">
            <w14:lumMod w14:val="65000"/>
            <w14:lumOff w14:val="35000"/>
          </w14:schemeClr>
        </w14:solidFill>
      </w14:textFill>
      <w14:ligatures w14:val="standardContextua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spacing w:line="240" w:lineRule="auto"/>
      <w:jc w:val="left"/>
    </w:pPr>
    <w:rPr>
      <w:rFonts w:asciiTheme="minorHAnsi" w:hAnsiTheme="minorHAnsi" w:eastAsiaTheme="minorEastAsia" w:cstheme="minorBidi"/>
      <w:sz w:val="18"/>
      <w:szCs w:val="18"/>
      <w14:ligatures w14:val="standardContextual"/>
    </w:rPr>
  </w:style>
  <w:style w:type="paragraph" w:styleId="12">
    <w:name w:val="header"/>
    <w:basedOn w:val="1"/>
    <w:link w:val="35"/>
    <w:unhideWhenUsed/>
    <w:qFormat/>
    <w:uiPriority w:val="99"/>
    <w:pPr>
      <w:tabs>
        <w:tab w:val="center" w:pos="4153"/>
        <w:tab w:val="right" w:pos="8306"/>
      </w:tabs>
      <w:snapToGrid w:val="0"/>
      <w:spacing w:line="240" w:lineRule="auto"/>
      <w:jc w:val="center"/>
    </w:pPr>
    <w:rPr>
      <w:rFonts w:asciiTheme="minorHAnsi" w:hAnsiTheme="minorHAnsi" w:eastAsiaTheme="minorEastAsia" w:cstheme="minorBidi"/>
      <w:sz w:val="18"/>
      <w:szCs w:val="18"/>
      <w14:ligatures w14:val="standardContextual"/>
    </w:rPr>
  </w:style>
  <w:style w:type="paragraph" w:styleId="13">
    <w:name w:val="Subtitle"/>
    <w:basedOn w:val="1"/>
    <w:next w:val="1"/>
    <w:link w:val="2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standardContextual"/>
    </w:rPr>
  </w:style>
  <w:style w:type="paragraph" w:styleId="14">
    <w:name w:val="Title"/>
    <w:basedOn w:val="1"/>
    <w:next w:val="1"/>
    <w:link w:val="26"/>
    <w:qFormat/>
    <w:uiPriority w:val="10"/>
    <w:pPr>
      <w:spacing w:after="80" w:line="240" w:lineRule="auto"/>
      <w:contextualSpacing/>
      <w:jc w:val="center"/>
    </w:pPr>
    <w:rPr>
      <w:rFonts w:asciiTheme="majorHAnsi" w:hAnsiTheme="majorHAnsi" w:eastAsiaTheme="majorEastAsia" w:cstheme="majorBidi"/>
      <w:spacing w:val="-10"/>
      <w:kern w:val="28"/>
      <w:sz w:val="56"/>
      <w:szCs w:val="56"/>
      <w14:ligatures w14:val="standardContextual"/>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rFonts w:asciiTheme="minorHAnsi" w:hAnsiTheme="minorHAnsi" w:eastAsiaTheme="minorEastAsia" w:cstheme="minorBidi"/>
      <w:i/>
      <w:iCs/>
      <w:color w:val="404040" w:themeColor="text1" w:themeTint="BF"/>
      <w:sz w:val="22"/>
      <w:szCs w:val="24"/>
      <w14:textFill>
        <w14:solidFill>
          <w14:schemeClr w14:val="tx1">
            <w14:lumMod w14:val="75000"/>
            <w14:lumOff w14:val="25000"/>
          </w14:schemeClr>
        </w14:solidFill>
      </w14:textFill>
      <w14:ligatures w14:val="standardContextua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jc w:val="left"/>
    </w:pPr>
    <w:rPr>
      <w:rFonts w:asciiTheme="minorHAnsi" w:hAnsiTheme="minorHAnsi" w:eastAsiaTheme="minorEastAsia" w:cstheme="minorBidi"/>
      <w:sz w:val="22"/>
      <w:szCs w:val="24"/>
      <w14:ligatures w14:val="standardContextual"/>
    </w:r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rFonts w:asciiTheme="minorHAnsi" w:hAnsiTheme="minorHAnsi" w:eastAsiaTheme="minorEastAsia" w:cstheme="minorBidi"/>
      <w:i/>
      <w:iCs/>
      <w:color w:val="104862" w:themeColor="accent1" w:themeShade="BF"/>
      <w:sz w:val="22"/>
      <w:szCs w:val="24"/>
      <w14:ligatures w14:val="standardContextual"/>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 w:type="character" w:customStyle="1" w:styleId="37">
    <w:name w:val="title1"/>
    <w:qFormat/>
    <w:uiPriority w:val="0"/>
    <w:rPr>
      <w:b/>
      <w:bCs/>
      <w:color w:val="99990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Pages>2</Pages>
  <Words>1124</Words>
  <Characters>1730</Characters>
  <Lines>13</Lines>
  <Paragraphs>3</Paragraphs>
  <TotalTime>7</TotalTime>
  <ScaleCrop>false</ScaleCrop>
  <LinksUpToDate>false</LinksUpToDate>
  <CharactersWithSpaces>1847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2025-09-16T07:23:00Z</dcterms:created>
  <dc:creator>Qi ZHOU 周奇</dc:creator>
  <cp:lastModifiedBy>葛格</cp:lastModifiedBy>
  <dcterms:modified xsi:type="dcterms:W3CDTF">2025-09-16T07:50:36Z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eyJoZGlkIjoiMzA1N2FkYjAwMjEzMzYyZGM5Mjc5MzliZjJiMGU4N2QiLCJ1c2VySWQiOiIxNjUxNjc4MTQzIn0=</vt:lpwstr>
  </property>
  <property fmtid="{D5CDD505-2E9C-101B-9397-08002B2CF9AE}" pid="3" name="KSOProductBuildVer">
    <vt:lpwstr>2052-12.1.0.19770</vt:lpwstr>
  </property>
  <property fmtid="{D5CDD505-2E9C-101B-9397-08002B2CF9AE}" pid="4" name="ICV">
    <vt:lpwstr>5D4E10415F504D9AB5CEE3E6D5331E59_13</vt:lpwstr>
  </property>
</Properties>
</file>