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76A8">
      <w:pPr>
        <w:jc w:val="center"/>
        <w:rPr>
          <w:rStyle w:val="37"/>
          <w:rFonts w:eastAsia="仿宋"/>
          <w:bCs w:val="0"/>
          <w:color w:val="auto"/>
          <w:sz w:val="36"/>
          <w:szCs w:val="36"/>
        </w:rPr>
      </w:pPr>
      <w:r>
        <w:rPr>
          <w:rStyle w:val="37"/>
          <w:rFonts w:eastAsia="仿宋"/>
          <w:color w:val="auto"/>
          <w:sz w:val="36"/>
          <w:szCs w:val="36"/>
        </w:rPr>
        <w:t>浙江省科学技术奖公示信息表</w:t>
      </w:r>
      <w:r>
        <w:rPr>
          <w:rStyle w:val="37"/>
          <w:rFonts w:eastAsia="仿宋"/>
          <w:color w:val="auto"/>
          <w:sz w:val="32"/>
          <w:szCs w:val="32"/>
        </w:rPr>
        <w:t>（单位提名）</w:t>
      </w:r>
    </w:p>
    <w:p w14:paraId="5554D9B4">
      <w:pPr>
        <w:spacing w:line="440" w:lineRule="exact"/>
        <w:rPr>
          <w:rFonts w:eastAsia="仿宋"/>
          <w:sz w:val="28"/>
          <w:szCs w:val="24"/>
        </w:rPr>
      </w:pPr>
      <w:r>
        <w:rPr>
          <w:rFonts w:eastAsia="仿宋"/>
          <w:sz w:val="28"/>
          <w:szCs w:val="24"/>
        </w:rPr>
        <w:t>提名奖项：（科学技术进步奖）</w:t>
      </w:r>
    </w:p>
    <w:tbl>
      <w:tblPr>
        <w:tblStyle w:val="1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0063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330C3F4">
            <w:pPr>
              <w:jc w:val="center"/>
              <w:rPr>
                <w:rStyle w:val="37"/>
                <w:rFonts w:eastAsia="仿宋"/>
                <w:b w:val="0"/>
                <w:color w:val="auto"/>
                <w:sz w:val="28"/>
              </w:rPr>
            </w:pPr>
            <w:r>
              <w:rPr>
                <w:rStyle w:val="37"/>
                <w:rFonts w:eastAsia="仿宋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0DA4141">
            <w:pPr>
              <w:jc w:val="center"/>
              <w:rPr>
                <w:rStyle w:val="37"/>
                <w:rFonts w:eastAsia="仿宋"/>
                <w:b w:val="0"/>
                <w:sz w:val="28"/>
              </w:rPr>
            </w:pPr>
            <w:bookmarkStart w:id="1" w:name="_GoBack"/>
            <w:bookmarkStart w:id="0" w:name="OLE_LINK26"/>
            <w:r>
              <w:rPr>
                <w:rFonts w:eastAsia="仿宋"/>
                <w:bCs/>
                <w:sz w:val="24"/>
                <w:szCs w:val="24"/>
              </w:rPr>
              <w:t>油菜特异种质资源鉴定、基因发掘和育种应用</w:t>
            </w:r>
            <w:bookmarkEnd w:id="1"/>
            <w:bookmarkEnd w:id="0"/>
          </w:p>
        </w:tc>
      </w:tr>
      <w:tr w14:paraId="62203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0A7B87DB">
            <w:pPr>
              <w:jc w:val="center"/>
              <w:rPr>
                <w:rStyle w:val="37"/>
                <w:rFonts w:eastAsia="仿宋"/>
                <w:b w:val="0"/>
                <w:color w:val="auto"/>
                <w:sz w:val="28"/>
              </w:rPr>
            </w:pPr>
            <w:r>
              <w:rPr>
                <w:rStyle w:val="37"/>
                <w:rFonts w:eastAsia="仿宋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0178A44">
            <w:pPr>
              <w:jc w:val="center"/>
              <w:rPr>
                <w:rStyle w:val="37"/>
                <w:rFonts w:eastAsia="仿宋"/>
                <w:b w:val="0"/>
                <w:sz w:val="28"/>
              </w:rPr>
            </w:pPr>
            <w:r>
              <w:rPr>
                <w:rStyle w:val="37"/>
                <w:rFonts w:eastAsia="仿宋"/>
                <w:b w:val="0"/>
                <w:color w:val="auto"/>
                <w:sz w:val="28"/>
              </w:rPr>
              <w:t>二等奖</w:t>
            </w:r>
          </w:p>
        </w:tc>
      </w:tr>
      <w:tr w14:paraId="601E5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08404FC6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提名书</w:t>
            </w:r>
          </w:p>
          <w:p w14:paraId="26411EC5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B463C1E">
            <w:pPr>
              <w:pStyle w:val="3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主要知识产权和标准规范目录</w:t>
            </w:r>
          </w:p>
          <w:p w14:paraId="407D087D">
            <w:pPr>
              <w:pStyle w:val="30"/>
              <w:spacing w:after="0" w:line="240" w:lineRule="auto"/>
              <w:ind w:left="0"/>
              <w:contextualSpacing w:val="0"/>
              <w:rPr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1）</w:t>
            </w:r>
            <w:r>
              <w:rPr>
                <w:rFonts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Improved method for improved </w:t>
            </w:r>
            <w:r>
              <w:rPr>
                <w:rFonts w:ascii="Times New Roman Regular" w:hAnsi="Times New Roman Regular" w:cs="Times New Roman Regular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Brassica napus Raphanus Sativas</w:t>
            </w:r>
            <w:r>
              <w:rPr>
                <w:rFonts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cytoplasmic male sterile restorer line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BB8917">
            <w:pPr>
              <w:pStyle w:val="30"/>
              <w:spacing w:after="0" w:line="240" w:lineRule="auto"/>
              <w:ind w:left="0"/>
              <w:contextualSpacing w:val="0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2）</w:t>
            </w:r>
            <w:r>
              <w:rPr>
                <w:rFonts w:eastAsia="仿宋"/>
                <w:bCs/>
                <w:szCs w:val="21"/>
              </w:rPr>
              <w:t>软件著作权：蜜源植物软件管理</w:t>
            </w:r>
            <w:r>
              <w:rPr>
                <w:rFonts w:hint="eastAsia" w:eastAsia="仿宋"/>
                <w:bCs/>
                <w:szCs w:val="21"/>
              </w:rPr>
              <w:t>。</w:t>
            </w:r>
          </w:p>
          <w:p w14:paraId="1086FD7E">
            <w:pPr>
              <w:pStyle w:val="3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仿宋"/>
                <w:bCs/>
                <w:szCs w:val="22"/>
              </w:rPr>
            </w:pPr>
            <w:r>
              <w:rPr>
                <w:rFonts w:eastAsia="仿宋"/>
                <w:bCs/>
                <w:szCs w:val="21"/>
              </w:rPr>
              <w:t>代表性论文专著目录</w:t>
            </w:r>
          </w:p>
          <w:p w14:paraId="25B77EDA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</w:rPr>
              <w:t>Whole-Genome Resequencing of a Worldwide Collection of Rapeseed Accessions Reveals the Genetic Basis of Ecotype Divergence, Molecular Plants, 2019, 12, 30-43</w:t>
            </w:r>
          </w:p>
          <w:p w14:paraId="0B8A2DE4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</w:rPr>
              <w:t>BnaSNPDB: An interactive web portal for the efficient retrieval and analysis of SNPs among 1,007 rapeseed accessions, Computational and Structural Biotechnology Journal, 2020, 18, 2766-2773</w:t>
            </w:r>
          </w:p>
          <w:p w14:paraId="4F0F3C40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</w:rPr>
              <w:t>Genome-wide-association study reveals new genes involved in leaf trichome formation in polyploid oilseed rape (</w:t>
            </w:r>
            <w:r>
              <w:rPr>
                <w:rFonts w:eastAsia="仿宋"/>
                <w:i/>
                <w:iCs/>
              </w:rPr>
              <w:t>Brassica napus</w:t>
            </w:r>
            <w:r>
              <w:rPr>
                <w:rFonts w:eastAsia="仿宋"/>
              </w:rPr>
              <w:t xml:space="preserve">). , Plant Cell and Environment, 2020, 43, 675-691 </w:t>
            </w:r>
          </w:p>
          <w:p w14:paraId="1687347A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</w:rPr>
              <w:t xml:space="preserve">Genome-wide association study reveals a patatin-like lipase relating to the reduction of seed oil content in </w:t>
            </w:r>
            <w:r>
              <w:rPr>
                <w:rFonts w:eastAsia="仿宋"/>
                <w:i/>
                <w:iCs/>
              </w:rPr>
              <w:t>Brassica napus</w:t>
            </w:r>
            <w:r>
              <w:rPr>
                <w:rFonts w:eastAsia="仿宋"/>
              </w:rPr>
              <w:t>., BMC Plant Biology, 21, 6</w:t>
            </w:r>
          </w:p>
          <w:p w14:paraId="5BF4DBE6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</w:rPr>
              <w:t>Elevating seed oil content in a polypoid crop by induced mutations in SEED FATTY ACID REDUCER genes, Plant Biotechnology Journal, 2020, 18, 2251-2266</w:t>
            </w:r>
          </w:p>
          <w:p w14:paraId="5BA4ED81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</w:rPr>
              <w:t>Effect of germination potential on storage lipids and transcriptome changes in premature developing seeds of oilseed rape (</w:t>
            </w:r>
            <w:r>
              <w:rPr>
                <w:rFonts w:eastAsia="仿宋"/>
                <w:i/>
                <w:iCs/>
              </w:rPr>
              <w:t>Brassica napus</w:t>
            </w:r>
            <w:r>
              <w:rPr>
                <w:rFonts w:eastAsia="仿宋"/>
              </w:rPr>
              <w:t xml:space="preserve"> L.), Theoretical and Applied Genetics, 2020, 133, 2839-2852</w:t>
            </w:r>
          </w:p>
          <w:p w14:paraId="61385DBB">
            <w:pPr>
              <w:pStyle w:val="30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仿宋"/>
              </w:rPr>
            </w:pPr>
            <w:r>
              <w:rPr>
                <w:rFonts w:eastAsia="仿宋"/>
                <w:lang w:val="en"/>
              </w:rPr>
              <w:t>Paclobutrazol Application Effects on Plant Height, Seed Yield and Carbohydrate Metabolism in Canola. International Journal of Agriculture and Biology, 2014, 16, 471-491</w:t>
            </w:r>
          </w:p>
          <w:p w14:paraId="4A70B00A">
            <w:pPr>
              <w:spacing w:after="0" w:line="240" w:lineRule="auto"/>
              <w:ind w:left="770" w:leftChars="-1" w:hanging="772" w:hangingChars="368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kern w:val="0"/>
              </w:rPr>
              <w:t xml:space="preserve">8）    </w:t>
            </w:r>
            <w:r>
              <w:rPr>
                <w:rFonts w:eastAsia="仿宋"/>
                <w:kern w:val="0"/>
              </w:rPr>
              <w:t>Prediction of heterosis in the recent rapeseed (</w:t>
            </w:r>
            <w:r>
              <w:rPr>
                <w:rFonts w:eastAsia="仿宋"/>
                <w:i/>
                <w:iCs/>
                <w:kern w:val="0"/>
              </w:rPr>
              <w:t>Brassica napus</w:t>
            </w:r>
            <w:r>
              <w:rPr>
                <w:rFonts w:eastAsia="仿宋"/>
                <w:kern w:val="0"/>
              </w:rPr>
              <w:t>) polyploid by pairing parent nucleotide sequences, PLOS Genetics, 2021, 17, e1009879</w:t>
            </w:r>
          </w:p>
        </w:tc>
      </w:tr>
      <w:tr w14:paraId="0FAC7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74B5DBC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1579B22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华水金，排名</w:t>
            </w:r>
            <w:r>
              <w:rPr>
                <w:rFonts w:hint="eastAsia" w:eastAsia="仿宋"/>
                <w:sz w:val="20"/>
              </w:rPr>
              <w:t>1</w:t>
            </w:r>
            <w:r>
              <w:rPr>
                <w:rFonts w:eastAsia="仿宋"/>
                <w:sz w:val="20"/>
              </w:rPr>
              <w:t>，研究员，浙江省农业科学院；</w:t>
            </w:r>
          </w:p>
          <w:p w14:paraId="48E75D23">
            <w:pPr>
              <w:spacing w:after="0" w:line="48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 w:val="20"/>
              </w:rPr>
              <w:t>蒋立希</w:t>
            </w:r>
            <w:r>
              <w:rPr>
                <w:rFonts w:eastAsia="仿宋"/>
                <w:sz w:val="20"/>
              </w:rPr>
              <w:t>，排名2，</w:t>
            </w:r>
            <w:r>
              <w:rPr>
                <w:rFonts w:hint="eastAsia" w:eastAsia="仿宋"/>
                <w:sz w:val="20"/>
              </w:rPr>
              <w:t>教授</w:t>
            </w:r>
            <w:r>
              <w:rPr>
                <w:rFonts w:eastAsia="仿宋"/>
                <w:sz w:val="20"/>
              </w:rPr>
              <w:t>，</w:t>
            </w:r>
            <w:r>
              <w:rPr>
                <w:rFonts w:hint="eastAsia" w:eastAsia="仿宋"/>
                <w:sz w:val="20"/>
              </w:rPr>
              <w:t>浙江大学；</w:t>
            </w:r>
          </w:p>
          <w:p w14:paraId="6EECF63B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0"/>
              </w:rPr>
              <w:t>张冬青</w:t>
            </w:r>
            <w:r>
              <w:rPr>
                <w:rFonts w:eastAsia="仿宋"/>
                <w:sz w:val="20"/>
              </w:rPr>
              <w:t>，排名</w:t>
            </w:r>
            <w:r>
              <w:rPr>
                <w:rFonts w:hint="eastAsia" w:eastAsia="仿宋"/>
                <w:sz w:val="20"/>
              </w:rPr>
              <w:t>3</w:t>
            </w:r>
            <w:r>
              <w:rPr>
                <w:rFonts w:eastAsia="仿宋"/>
                <w:sz w:val="20"/>
              </w:rPr>
              <w:t>，</w:t>
            </w:r>
            <w:r>
              <w:rPr>
                <w:rFonts w:hint="eastAsia" w:eastAsia="仿宋"/>
                <w:sz w:val="20"/>
              </w:rPr>
              <w:t>研究员，</w:t>
            </w:r>
            <w:r>
              <w:rPr>
                <w:rFonts w:eastAsia="仿宋"/>
                <w:szCs w:val="21"/>
              </w:rPr>
              <w:t>湘湖实验室（农业浙江省实验室）</w:t>
            </w:r>
          </w:p>
          <w:p w14:paraId="13AF3291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游兆彤，排名4，副研究员，浙江省农业科学院；</w:t>
            </w:r>
          </w:p>
          <w:p w14:paraId="4333A557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吴德志，排名5，教授，浙江大学；</w:t>
            </w:r>
          </w:p>
          <w:p w14:paraId="2F5ACB14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余华胜，排名6，研究员，浙江省农业科学院；</w:t>
            </w:r>
          </w:p>
          <w:p w14:paraId="492D9B40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张泉锋，排名7，高级农艺师，浙江勿忘农种业股份有限公司；</w:t>
            </w:r>
          </w:p>
          <w:p w14:paraId="75A9D00C">
            <w:pPr>
              <w:spacing w:after="0" w:line="480" w:lineRule="atLeast"/>
              <w:rPr>
                <w:rFonts w:eastAsia="仿宋"/>
                <w:sz w:val="20"/>
              </w:rPr>
            </w:pPr>
            <w:r>
              <w:rPr>
                <w:rFonts w:eastAsia="仿宋"/>
                <w:sz w:val="20"/>
              </w:rPr>
              <w:t>张尧锋，排名8，研究员，浙江省农业科学院；</w:t>
            </w:r>
          </w:p>
          <w:p w14:paraId="0E9F487C">
            <w:pPr>
              <w:spacing w:after="0" w:line="480" w:lineRule="atLeas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0"/>
              </w:rPr>
              <w:t>陈晓阳，排名9，研究员，金华市农业科学研究院。</w:t>
            </w:r>
          </w:p>
        </w:tc>
      </w:tr>
      <w:tr w14:paraId="7E3C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6068F1B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24ACFDF7">
            <w:pPr>
              <w:spacing w:after="0" w:line="480" w:lineRule="atLeast"/>
              <w:jc w:val="lef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 xml:space="preserve">1. </w:t>
            </w:r>
            <w:r>
              <w:rPr>
                <w:rFonts w:eastAsia="仿宋"/>
                <w:szCs w:val="21"/>
              </w:rPr>
              <w:t>浙江省农业科学院</w:t>
            </w:r>
          </w:p>
          <w:p w14:paraId="1B97A993">
            <w:pPr>
              <w:spacing w:after="0" w:line="480" w:lineRule="atLeast"/>
              <w:jc w:val="lef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 xml:space="preserve">2. </w:t>
            </w:r>
            <w:r>
              <w:rPr>
                <w:rFonts w:eastAsia="仿宋"/>
                <w:szCs w:val="21"/>
              </w:rPr>
              <w:t>浙江大学</w:t>
            </w:r>
          </w:p>
          <w:p w14:paraId="245132C3">
            <w:pPr>
              <w:spacing w:after="0" w:line="480" w:lineRule="atLeas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3.</w:t>
            </w:r>
            <w:r>
              <w:rPr>
                <w:rFonts w:eastAsia="仿宋"/>
                <w:szCs w:val="21"/>
              </w:rPr>
              <w:t xml:space="preserve"> 浙江勿忘农种业股份有限公司</w:t>
            </w:r>
          </w:p>
          <w:p w14:paraId="5A152BD2">
            <w:pPr>
              <w:spacing w:after="0" w:line="480" w:lineRule="atLeas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4. 湘湖实验室（农业浙江省实验室）</w:t>
            </w:r>
          </w:p>
          <w:p w14:paraId="793EEDFA">
            <w:pPr>
              <w:spacing w:after="0" w:line="480" w:lineRule="atLeas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5.</w:t>
            </w:r>
            <w:r>
              <w:rPr>
                <w:rFonts w:eastAsia="仿宋"/>
                <w:szCs w:val="21"/>
              </w:rPr>
              <w:t xml:space="preserve"> 金华市农业科学研究院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</w:tr>
      <w:tr w14:paraId="25FAF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7556DD60">
            <w:pPr>
              <w:jc w:val="center"/>
              <w:rPr>
                <w:rStyle w:val="37"/>
                <w:rFonts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37"/>
                <w:rFonts w:eastAsia="仿宋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07790CE">
            <w:pPr>
              <w:spacing w:after="0" w:line="480" w:lineRule="atLeast"/>
              <w:contextualSpacing/>
              <w:jc w:val="center"/>
              <w:rPr>
                <w:rStyle w:val="37"/>
                <w:rFonts w:eastAsia="仿宋"/>
                <w:b w:val="0"/>
                <w:color w:val="auto"/>
              </w:rPr>
            </w:pPr>
            <w:r>
              <w:rPr>
                <w:rStyle w:val="37"/>
                <w:rFonts w:eastAsia="仿宋"/>
                <w:b w:val="0"/>
                <w:color w:val="auto"/>
              </w:rPr>
              <w:t>浙江省农业科学院</w:t>
            </w:r>
          </w:p>
        </w:tc>
      </w:tr>
      <w:tr w14:paraId="6D56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69" w:type="dxa"/>
            <w:vAlign w:val="center"/>
          </w:tcPr>
          <w:p w14:paraId="28A5BC3F">
            <w:pPr>
              <w:jc w:val="center"/>
              <w:rPr>
                <w:rStyle w:val="37"/>
                <w:rFonts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37"/>
                <w:rFonts w:eastAsia="仿宋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9339812">
            <w:pPr>
              <w:spacing w:after="0" w:line="480" w:lineRule="atLeast"/>
              <w:ind w:firstLine="420" w:firstLineChars="20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针对油菜骨干亲本遗传背景狭窄、种质资源数字化利用手段滞后、珍稀资源基因利用效率低等问题，首次对全球引进的1051份油菜种质进行基因组重测序，建成的基因资源数字化利用平台，首次实现了遗传多态性的可视化分析、GWAS等功能；挖掘了一系列具有育种利用价值的关键基因，如</w:t>
            </w:r>
            <w:r>
              <w:rPr>
                <w:rFonts w:eastAsia="仿宋"/>
                <w:i/>
                <w:iCs/>
                <w:szCs w:val="21"/>
              </w:rPr>
              <w:t>BnSFARs</w:t>
            </w:r>
            <w:r>
              <w:rPr>
                <w:rFonts w:eastAsia="仿宋"/>
                <w:szCs w:val="21"/>
              </w:rPr>
              <w:t>（油脂消减）等；首创了基于油菜父母本基因组序列配对的杂种优势预测模型，培育了6个代表浙江省油菜产业发展水平的高产、优质、适宜机械化生产的油菜新品种（系）。成果发表论文41篇，专利</w:t>
            </w:r>
            <w:r>
              <w:rPr>
                <w:rFonts w:hint="eastAsia"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项，登记新品种</w:t>
            </w: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个，3年积累推广面积1</w:t>
            </w:r>
            <w:r>
              <w:rPr>
                <w:rFonts w:hint="eastAsia" w:eastAsia="仿宋"/>
                <w:szCs w:val="21"/>
              </w:rPr>
              <w:t>53.04</w:t>
            </w:r>
            <w:r>
              <w:rPr>
                <w:rFonts w:eastAsia="仿宋"/>
                <w:szCs w:val="21"/>
              </w:rPr>
              <w:t>万亩，产生了良好的社会和经济效益。</w:t>
            </w:r>
          </w:p>
          <w:p w14:paraId="4B5DECEA">
            <w:pPr>
              <w:spacing w:after="0" w:line="480" w:lineRule="atLeast"/>
              <w:ind w:firstLine="420" w:firstLineChars="200"/>
              <w:rPr>
                <w:rStyle w:val="37"/>
                <w:rFonts w:eastAsia="仿宋"/>
                <w:b w:val="0"/>
                <w:color w:val="auto"/>
              </w:rPr>
            </w:pPr>
            <w:r>
              <w:rPr>
                <w:rFonts w:eastAsia="仿宋"/>
                <w:szCs w:val="21"/>
              </w:rPr>
              <w:t xml:space="preserve">提名该成果为省科学技术进步奖 </w:t>
            </w:r>
            <w:r>
              <w:rPr>
                <w:rFonts w:eastAsia="仿宋"/>
                <w:b/>
                <w:bCs/>
                <w:szCs w:val="21"/>
              </w:rPr>
              <w:t>贰</w:t>
            </w:r>
            <w:r>
              <w:rPr>
                <w:rFonts w:eastAsia="仿宋"/>
                <w:szCs w:val="21"/>
              </w:rPr>
              <w:t xml:space="preserve">  等奖。</w:t>
            </w:r>
          </w:p>
        </w:tc>
      </w:tr>
    </w:tbl>
    <w:p w14:paraId="309C20E2">
      <w:pPr>
        <w:rPr>
          <w:rFonts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C27C0"/>
    <w:multiLevelType w:val="multilevel"/>
    <w:tmpl w:val="12DC27C0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1">
    <w:nsid w:val="3F3479D5"/>
    <w:multiLevelType w:val="multilevel"/>
    <w:tmpl w:val="3F3479D5"/>
    <w:lvl w:ilvl="0" w:tentative="0">
      <w:start w:val="1"/>
      <w:numFmt w:val="decimal"/>
      <w:lvlText w:val="%1)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9E"/>
    <w:rsid w:val="000C3EA2"/>
    <w:rsid w:val="00121B27"/>
    <w:rsid w:val="001C4239"/>
    <w:rsid w:val="002674E1"/>
    <w:rsid w:val="0069724F"/>
    <w:rsid w:val="008B4B60"/>
    <w:rsid w:val="009E0E17"/>
    <w:rsid w:val="00A446D9"/>
    <w:rsid w:val="00BB0E9E"/>
    <w:rsid w:val="00BE6B72"/>
    <w:rsid w:val="00CB59C8"/>
    <w:rsid w:val="00DA75B0"/>
    <w:rsid w:val="526A49E0"/>
    <w:rsid w:val="5BDC657D"/>
    <w:rsid w:val="677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character" w:customStyle="1" w:styleId="37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1926</Characters>
  <Lines>53</Lines>
  <Paragraphs>45</Paragraphs>
  <TotalTime>1</TotalTime>
  <ScaleCrop>false</ScaleCrop>
  <LinksUpToDate>false</LinksUpToDate>
  <CharactersWithSpaces>2129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2025-09-16T02:28:00Z</dcterms:created>
  <dc:creator>Shuijin Hua</dc:creator>
  <cp:lastModifiedBy>葛格</cp:lastModifiedBy>
  <dcterms:modified xsi:type="dcterms:W3CDTF">2025-09-16T03:15:58Z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F6066020914D41E1AD4EA83EC65594B0_13</vt:lpwstr>
  </property>
</Properties>
</file>