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4DA8F">
      <w:pPr>
        <w:adjustRightInd w:val="0"/>
        <w:snapToGrid w:val="0"/>
        <w:spacing w:before="240" w:after="240" w:line="600" w:lineRule="exact"/>
        <w:ind w:firstLine="556"/>
        <w:rPr>
          <w:rFonts w:ascii="仿宋_GB2312" w:hAnsi="仿宋" w:eastAsia="仿宋_GB2312" w:cs="方正小标宋简体"/>
          <w:bCs/>
          <w:sz w:val="32"/>
          <w:szCs w:val="32"/>
        </w:rPr>
      </w:pPr>
      <w:r>
        <w:rPr>
          <w:rFonts w:hint="eastAsia" w:ascii="仿宋_GB2312" w:hAnsi="仿宋" w:eastAsia="仿宋_GB2312" w:cs="方正小标宋简体"/>
          <w:bCs/>
          <w:sz w:val="32"/>
          <w:szCs w:val="32"/>
        </w:rPr>
        <w:t>根据《2026年度山东省科学技术奖励提名工作手册》有关要求，现将浙江大学作为参加单位的成果“多肽信号调控植物衰老机制解析”相关内容予以公示。</w:t>
      </w:r>
    </w:p>
    <w:p w14:paraId="4F317CA3">
      <w:pPr>
        <w:adjustRightInd w:val="0"/>
        <w:snapToGrid w:val="0"/>
        <w:spacing w:before="240" w:after="240" w:line="600" w:lineRule="exact"/>
        <w:ind w:firstLine="556"/>
        <w:rPr>
          <w:rFonts w:ascii="仿宋_GB2312" w:hAnsi="仿宋" w:eastAsia="仿宋_GB2312" w:cs="方正小标宋简体"/>
          <w:bCs/>
          <w:sz w:val="32"/>
          <w:szCs w:val="32"/>
        </w:rPr>
      </w:pPr>
      <w:r>
        <w:rPr>
          <w:rFonts w:hint="eastAsia" w:ascii="仿宋_GB2312" w:hAnsi="仿宋" w:eastAsia="仿宋_GB2312" w:cs="方正小标宋简体"/>
          <w:bCs/>
          <w:sz w:val="32"/>
          <w:szCs w:val="32"/>
        </w:rPr>
        <w:t>公示时间：2026年9月29日-2026年10月</w:t>
      </w:r>
      <w:r>
        <w:rPr>
          <w:rFonts w:hint="eastAsia" w:ascii="仿宋_GB2312" w:hAnsi="仿宋" w:eastAsia="仿宋_GB2312" w:cs="方正小标宋简体"/>
          <w:bCs/>
          <w:sz w:val="32"/>
          <w:szCs w:val="32"/>
          <w:lang w:val="en-US" w:eastAsia="zh-CN"/>
        </w:rPr>
        <w:t>5</w:t>
      </w:r>
      <w:r>
        <w:rPr>
          <w:rFonts w:hint="eastAsia" w:ascii="仿宋_GB2312" w:hAnsi="仿宋" w:eastAsia="仿宋_GB2312" w:cs="方正小标宋简体"/>
          <w:bCs/>
          <w:sz w:val="32"/>
          <w:szCs w:val="32"/>
        </w:rPr>
        <w:t>日。</w:t>
      </w:r>
    </w:p>
    <w:p w14:paraId="38874724">
      <w:pPr>
        <w:adjustRightInd w:val="0"/>
        <w:snapToGrid w:val="0"/>
        <w:spacing w:before="240" w:after="240" w:line="600" w:lineRule="exact"/>
        <w:ind w:firstLine="556"/>
        <w:rPr>
          <w:rFonts w:ascii="仿宋_GB2312" w:hAnsi="仿宋" w:eastAsia="仿宋_GB2312" w:cs="方正小标宋简体"/>
          <w:bCs/>
          <w:sz w:val="32"/>
          <w:szCs w:val="32"/>
        </w:rPr>
      </w:pPr>
      <w:r>
        <w:rPr>
          <w:rFonts w:hint="eastAsia" w:ascii="仿宋_GB2312" w:hAnsi="仿宋" w:eastAsia="仿宋_GB2312" w:cs="方正小标宋简体"/>
          <w:bCs/>
          <w:sz w:val="32"/>
          <w:szCs w:val="32"/>
        </w:rPr>
        <w:t>对公示的成果、候选人持有异议的，在公示期内，应当以真实身份书面向科研院提出。个人提出异议的，应当在异议材料上签署真实姓名和联系电话、地址；以单位名义提出异议的，应当加盖本单位公章。为方便核实、查证，保证实事求是、公正处理，匿名异议不予受理。我校将按规定对异议者身份予以保护。</w:t>
      </w:r>
    </w:p>
    <w:p w14:paraId="38C10652">
      <w:pPr>
        <w:adjustRightInd w:val="0"/>
        <w:snapToGrid w:val="0"/>
        <w:spacing w:before="240" w:after="240" w:line="600" w:lineRule="exact"/>
        <w:ind w:firstLine="556"/>
        <w:rPr>
          <w:rFonts w:ascii="仿宋_GB2312" w:hAnsi="仿宋" w:eastAsia="仿宋_GB2312" w:cs="方正小标宋简体"/>
          <w:bCs/>
          <w:sz w:val="32"/>
          <w:szCs w:val="32"/>
        </w:rPr>
      </w:pPr>
      <w:r>
        <w:rPr>
          <w:rFonts w:hint="eastAsia" w:ascii="仿宋_GB2312" w:hAnsi="仿宋" w:eastAsia="仿宋_GB2312" w:cs="方正小标宋简体"/>
          <w:bCs/>
          <w:sz w:val="32"/>
          <w:szCs w:val="32"/>
        </w:rPr>
        <w:t>联系人：陈珊</w:t>
      </w:r>
    </w:p>
    <w:p w14:paraId="601C5440">
      <w:pPr>
        <w:adjustRightInd w:val="0"/>
        <w:snapToGrid w:val="0"/>
        <w:spacing w:before="240" w:after="240" w:line="600" w:lineRule="exact"/>
        <w:ind w:firstLine="556"/>
        <w:rPr>
          <w:rFonts w:hint="default" w:ascii="仿宋_GB2312" w:hAnsi="仿宋" w:eastAsia="仿宋_GB2312" w:cs="方正小标宋简体"/>
          <w:bCs/>
          <w:sz w:val="32"/>
          <w:szCs w:val="32"/>
          <w:lang w:val="en-US" w:eastAsia="zh-CN"/>
        </w:rPr>
      </w:pPr>
      <w:r>
        <w:rPr>
          <w:rFonts w:hint="eastAsia" w:ascii="仿宋_GB2312" w:hAnsi="仿宋" w:eastAsia="仿宋_GB2312" w:cs="方正小标宋简体"/>
          <w:bCs/>
          <w:sz w:val="32"/>
          <w:szCs w:val="32"/>
        </w:rPr>
        <w:t>联系电话：0571-889810</w:t>
      </w:r>
      <w:r>
        <w:rPr>
          <w:rFonts w:hint="eastAsia" w:ascii="仿宋_GB2312" w:hAnsi="仿宋" w:eastAsia="仿宋_GB2312" w:cs="方正小标宋简体"/>
          <w:bCs/>
          <w:sz w:val="32"/>
          <w:szCs w:val="32"/>
          <w:lang w:val="en-US" w:eastAsia="zh-CN"/>
        </w:rPr>
        <w:t>70</w:t>
      </w:r>
    </w:p>
    <w:p w14:paraId="39D8FAA2">
      <w:pPr>
        <w:adjustRightInd w:val="0"/>
        <w:snapToGrid w:val="0"/>
        <w:spacing w:before="240" w:after="240" w:line="600" w:lineRule="exact"/>
        <w:ind w:firstLine="556"/>
        <w:rPr>
          <w:rFonts w:eastAsia="仿宋_GB2312"/>
          <w:bCs/>
          <w:sz w:val="32"/>
          <w:szCs w:val="32"/>
        </w:rPr>
      </w:pPr>
      <w:r>
        <w:rPr>
          <w:rFonts w:eastAsia="仿宋_GB2312"/>
          <w:bCs/>
          <w:sz w:val="32"/>
          <w:szCs w:val="32"/>
        </w:rPr>
        <w:t>E-mail：chenshan@zju.edu.cn</w:t>
      </w:r>
    </w:p>
    <w:p w14:paraId="5413FB75">
      <w:pPr>
        <w:adjustRightInd w:val="0"/>
        <w:snapToGrid w:val="0"/>
        <w:spacing w:before="240" w:after="240" w:line="600" w:lineRule="exact"/>
        <w:ind w:firstLine="556"/>
        <w:rPr>
          <w:rFonts w:ascii="仿宋_GB2312" w:hAnsi="仿宋" w:eastAsia="仿宋_GB2312" w:cs="方正小标宋简体"/>
          <w:bCs/>
          <w:sz w:val="32"/>
          <w:szCs w:val="32"/>
        </w:rPr>
      </w:pPr>
      <w:r>
        <w:rPr>
          <w:rFonts w:hint="eastAsia" w:ascii="仿宋_GB2312" w:hAnsi="仿宋" w:eastAsia="仿宋_GB2312" w:cs="方正小标宋简体"/>
          <w:bCs/>
          <w:sz w:val="32"/>
          <w:szCs w:val="32"/>
        </w:rPr>
        <w:t>公示材料：多肽信号调控植物衰老机制解析</w:t>
      </w:r>
    </w:p>
    <w:p w14:paraId="1DA292D8">
      <w:pPr>
        <w:adjustRightInd w:val="0"/>
        <w:snapToGrid w:val="0"/>
        <w:spacing w:line="560" w:lineRule="exact"/>
        <w:rPr>
          <w:rFonts w:ascii="仿宋_GB2312" w:hAnsi="仿宋" w:eastAsia="仿宋_GB2312" w:cs="方正小标宋简体"/>
          <w:bCs/>
          <w:sz w:val="32"/>
          <w:szCs w:val="32"/>
        </w:rPr>
      </w:pPr>
    </w:p>
    <w:p w14:paraId="00E82C0F">
      <w:pPr>
        <w:adjustRightInd w:val="0"/>
        <w:snapToGrid w:val="0"/>
        <w:spacing w:before="240" w:after="240" w:line="600" w:lineRule="exact"/>
        <w:ind w:firstLine="556"/>
        <w:jc w:val="right"/>
        <w:rPr>
          <w:rFonts w:ascii="仿宋_GB2312" w:hAnsi="仿宋" w:eastAsia="仿宋_GB2312" w:cs="方正小标宋简体"/>
          <w:bCs/>
          <w:sz w:val="32"/>
          <w:szCs w:val="32"/>
        </w:rPr>
      </w:pPr>
      <w:r>
        <w:rPr>
          <w:rFonts w:ascii="Calibri" w:hAnsi="Calibri" w:eastAsia="仿宋_GB2312" w:cs="Calibri"/>
          <w:bCs/>
          <w:sz w:val="32"/>
          <w:szCs w:val="32"/>
        </w:rPr>
        <w:t> </w:t>
      </w:r>
      <w:r>
        <w:rPr>
          <w:rFonts w:hint="eastAsia" w:ascii="仿宋_GB2312" w:hAnsi="仿宋" w:eastAsia="仿宋_GB2312" w:cs="方正小标宋简体"/>
          <w:bCs/>
          <w:sz w:val="32"/>
          <w:szCs w:val="32"/>
        </w:rPr>
        <w:t>浙江大学</w:t>
      </w:r>
    </w:p>
    <w:p w14:paraId="65EEE8C7">
      <w:pPr>
        <w:adjustRightInd w:val="0"/>
        <w:snapToGrid w:val="0"/>
        <w:spacing w:before="240" w:after="240" w:line="600" w:lineRule="exact"/>
        <w:ind w:firstLine="556"/>
        <w:jc w:val="right"/>
        <w:rPr>
          <w:rFonts w:ascii="仿宋_GB2312" w:hAnsi="仿宋" w:eastAsia="仿宋_GB2312" w:cs="方正小标宋简体"/>
          <w:bCs/>
          <w:sz w:val="32"/>
          <w:szCs w:val="32"/>
        </w:rPr>
      </w:pPr>
      <w:r>
        <w:rPr>
          <w:rFonts w:hint="eastAsia" w:ascii="仿宋_GB2312" w:hAnsi="仿宋" w:eastAsia="仿宋_GB2312" w:cs="方正小标宋简体"/>
          <w:bCs/>
          <w:sz w:val="32"/>
          <w:szCs w:val="32"/>
        </w:rPr>
        <w:t>2026年9月29日</w:t>
      </w:r>
    </w:p>
    <w:p w14:paraId="06D8D6DC">
      <w:pPr>
        <w:adjustRightInd w:val="0"/>
        <w:snapToGrid w:val="0"/>
        <w:spacing w:line="560" w:lineRule="exact"/>
        <w:rPr>
          <w:rFonts w:ascii="黑体" w:hAnsi="黑体" w:eastAsia="黑体" w:cs="黑体"/>
          <w:sz w:val="32"/>
          <w:szCs w:val="32"/>
          <w:highlight w:val="yellow"/>
        </w:rPr>
      </w:pPr>
      <w:r>
        <w:rPr>
          <w:rFonts w:hint="eastAsia" w:ascii="黑体" w:hAnsi="黑体" w:eastAsia="黑体" w:cs="黑体"/>
          <w:sz w:val="32"/>
          <w:szCs w:val="32"/>
        </w:rPr>
        <w:br w:type="page"/>
      </w:r>
      <w:r>
        <w:rPr>
          <w:rFonts w:hint="eastAsia" w:ascii="黑体" w:hAnsi="黑体" w:eastAsia="黑体" w:cs="黑体"/>
          <w:sz w:val="32"/>
          <w:szCs w:val="32"/>
        </w:rPr>
        <w:t>公示材料</w:t>
      </w:r>
    </w:p>
    <w:p w14:paraId="24392A17">
      <w:pPr>
        <w:rPr>
          <w:rFonts w:eastAsia="楷体"/>
          <w:b/>
          <w:sz w:val="28"/>
        </w:rPr>
      </w:pPr>
      <w:r>
        <w:rPr>
          <w:rFonts w:hint="eastAsia" w:eastAsia="楷体"/>
          <w:b/>
          <w:sz w:val="28"/>
        </w:rPr>
        <w:t>一、项目名称</w:t>
      </w:r>
    </w:p>
    <w:p w14:paraId="40106955">
      <w:pPr>
        <w:rPr>
          <w:rFonts w:eastAsia="楷体"/>
          <w:sz w:val="28"/>
        </w:rPr>
      </w:pPr>
      <w:r>
        <w:rPr>
          <w:rFonts w:hint="eastAsia" w:eastAsia="楷体"/>
          <w:sz w:val="28"/>
        </w:rPr>
        <w:t>多肽信号调控植物衰老机制解析</w:t>
      </w:r>
      <w:bookmarkStart w:id="0" w:name="_GoBack"/>
      <w:bookmarkEnd w:id="0"/>
    </w:p>
    <w:p w14:paraId="50A5A577">
      <w:pPr>
        <w:rPr>
          <w:rFonts w:eastAsia="楷体"/>
          <w:sz w:val="28"/>
        </w:rPr>
      </w:pPr>
      <w:r>
        <w:rPr>
          <w:rFonts w:hint="eastAsia" w:eastAsia="楷体"/>
          <w:b/>
          <w:bCs/>
          <w:sz w:val="28"/>
        </w:rPr>
        <w:t>二、提名单位</w:t>
      </w:r>
    </w:p>
    <w:p w14:paraId="7DC999EC">
      <w:pPr>
        <w:rPr>
          <w:rFonts w:eastAsia="楷体"/>
          <w:sz w:val="28"/>
        </w:rPr>
      </w:pPr>
      <w:r>
        <w:rPr>
          <w:rFonts w:hint="eastAsia" w:eastAsia="楷体"/>
          <w:sz w:val="28"/>
        </w:rPr>
        <w:t>中国农业科学院烟草研究所</w:t>
      </w:r>
    </w:p>
    <w:p w14:paraId="7F9213F0">
      <w:pPr>
        <w:rPr>
          <w:rFonts w:eastAsia="楷体"/>
          <w:b/>
          <w:bCs/>
          <w:sz w:val="28"/>
        </w:rPr>
      </w:pPr>
      <w:r>
        <w:rPr>
          <w:rFonts w:hint="eastAsia" w:eastAsia="楷体"/>
          <w:b/>
          <w:bCs/>
          <w:sz w:val="28"/>
        </w:rPr>
        <w:t>三、项目简介</w:t>
      </w:r>
    </w:p>
    <w:p w14:paraId="3812FF64">
      <w:pPr>
        <w:ind w:firstLine="560" w:firstLineChars="200"/>
        <w:rPr>
          <w:rFonts w:eastAsia="楷体"/>
          <w:sz w:val="28"/>
        </w:rPr>
      </w:pPr>
      <w:r>
        <w:rPr>
          <w:rFonts w:hint="eastAsia" w:eastAsia="楷体"/>
          <w:sz w:val="28"/>
        </w:rPr>
        <w:t>叶片衰老对植物生长和产量形成至关重要。叶片早衰，尤其是逆境诱发的早衰，常导致作物大幅减产。对关键调控因子开展遗传操作可延缓叶片衰老进程，提升作物产质量，增强其抗逆能力。多肽作为新型信号分子，广泛参与调控植物生长发育、防御及逆境响应等过程，但其在叶片衰老调控中的作用及分子机制尚不清楚。本项目围绕“植物多肽信号如何调控叶片衰老”这一核心科学问题开展研究，取得了以下三方面重要进展：（1）发掘植物多肽资源。针对植物多肽编码基因短小、类型多样且易被常规基因组注释遗漏等特点，从全基因组水平系统挖掘和鉴定多类植物多肽基因，结合表达及功能信息筛选出一批与植物衰老及逆境响应相关的关键多肽，拓展了植物多肽资源，为发现多肽调控植物衰老的新功能奠定了基础。（2）揭示多肽信号调控叶片衰老的新功能。明确了多肽作为新型信号因子参与植物叶片衰老调控，解析了不同多肽调节衰老进程的功能模式：阐明了CLE14-JUB1-ROS信号模块通过抑制年龄依赖性和胁迫诱导的衰老进程，对衰老的进行起到“刹车”作用；揭示了SCOOP10和SCOOP12通过与MIK2受体激酶互作，拮抗性调节叶片衰老的新机制。在国际上首次报道植物多肽作为信号分子参与调控叶片衰老，拓展了植物多肽信号的生物学功能，进一步丰富了植物衰老的分子信号网络。（3）解析多肽调控叶片衰老的信号转导机制。在明确多肽调控叶片衰老功能的基础上，进一步解析了受体激酶、转录因子等多肽下游因子调控叶片衰老的作用机制，揭示了小肽信号由胞外感知向胞内转导并最终调控叶片衰老的分子路径。同时，鉴定了植物衰老过程中的关键调控因子及功能模块，阐明了DML3介导的DNA去甲基化调控叶片衰老的表观遗传机制，揭示了叶片衰老过程中的代谢重塑及其调控作用，从信号转导、表观遗传和代谢等多个层面深化对植物叶片衰老调控机制的认识。</w:t>
      </w:r>
    </w:p>
    <w:p w14:paraId="3CD07F62">
      <w:pPr>
        <w:rPr>
          <w:rFonts w:eastAsia="楷体"/>
          <w:b/>
          <w:bCs/>
          <w:sz w:val="28"/>
        </w:rPr>
      </w:pPr>
      <w:r>
        <w:rPr>
          <w:rFonts w:hint="eastAsia" w:eastAsia="楷体"/>
          <w:b/>
          <w:bCs/>
          <w:sz w:val="28"/>
        </w:rPr>
        <w:t>四、代表性论文专著目录</w:t>
      </w:r>
    </w:p>
    <w:tbl>
      <w:tblPr>
        <w:tblStyle w:val="9"/>
        <w:tblW w:w="839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31"/>
        <w:gridCol w:w="1338"/>
        <w:gridCol w:w="1117"/>
        <w:gridCol w:w="859"/>
        <w:gridCol w:w="1855"/>
        <w:gridCol w:w="988"/>
        <w:gridCol w:w="997"/>
        <w:gridCol w:w="707"/>
      </w:tblGrid>
      <w:tr w14:paraId="3315E6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1" w:type="dxa"/>
            <w:tcBorders>
              <w:top w:val="single" w:color="auto" w:sz="8" w:space="0"/>
              <w:left w:val="single" w:color="auto" w:sz="8" w:space="0"/>
              <w:bottom w:val="single" w:color="auto" w:sz="4" w:space="0"/>
              <w:right w:val="single" w:color="auto" w:sz="4" w:space="0"/>
            </w:tcBorders>
            <w:shd w:val="clear" w:color="auto" w:fill="auto"/>
            <w:vAlign w:val="center"/>
          </w:tcPr>
          <w:p w14:paraId="688BAAF0">
            <w:pPr>
              <w:pStyle w:val="4"/>
              <w:widowControl/>
              <w:spacing w:line="220" w:lineRule="exact"/>
              <w:ind w:firstLine="0" w:firstLineChars="0"/>
              <w:jc w:val="center"/>
              <w:rPr>
                <w:rFonts w:ascii="Times New Roman" w:eastAsia="楷体"/>
                <w:sz w:val="18"/>
                <w:szCs w:val="18"/>
              </w:rPr>
            </w:pPr>
            <w:r>
              <w:rPr>
                <w:rFonts w:hint="eastAsia" w:ascii="Times New Roman" w:eastAsia="楷体" w:cs="宋体"/>
                <w:sz w:val="18"/>
                <w:szCs w:val="18"/>
              </w:rPr>
              <w:t>序号</w:t>
            </w:r>
          </w:p>
        </w:tc>
        <w:tc>
          <w:tcPr>
            <w:tcW w:w="1338" w:type="dxa"/>
            <w:tcBorders>
              <w:top w:val="single" w:color="auto" w:sz="8" w:space="0"/>
              <w:left w:val="single" w:color="auto" w:sz="4" w:space="0"/>
              <w:bottom w:val="single" w:color="auto" w:sz="4" w:space="0"/>
              <w:right w:val="single" w:color="auto" w:sz="4" w:space="0"/>
            </w:tcBorders>
            <w:shd w:val="clear" w:color="auto" w:fill="auto"/>
            <w:vAlign w:val="center"/>
          </w:tcPr>
          <w:p w14:paraId="12A4BD17">
            <w:pPr>
              <w:pStyle w:val="4"/>
              <w:widowControl/>
              <w:spacing w:line="220" w:lineRule="exact"/>
              <w:ind w:firstLine="0" w:firstLineChars="0"/>
              <w:rPr>
                <w:rFonts w:ascii="Times New Roman" w:eastAsia="楷体"/>
                <w:sz w:val="18"/>
                <w:szCs w:val="18"/>
              </w:rPr>
            </w:pPr>
            <w:r>
              <w:rPr>
                <w:rFonts w:hint="eastAsia" w:ascii="Times New Roman" w:eastAsia="楷体" w:cs="宋体"/>
                <w:sz w:val="18"/>
                <w:szCs w:val="18"/>
              </w:rPr>
              <w:t>论文专著</w:t>
            </w:r>
            <w:r>
              <w:rPr>
                <w:rFonts w:ascii="Times New Roman" w:eastAsia="楷体" w:cs="宋体"/>
                <w:sz w:val="18"/>
                <w:szCs w:val="18"/>
              </w:rPr>
              <w:t>名称</w:t>
            </w:r>
          </w:p>
        </w:tc>
        <w:tc>
          <w:tcPr>
            <w:tcW w:w="1117" w:type="dxa"/>
            <w:tcBorders>
              <w:top w:val="single" w:color="auto" w:sz="8" w:space="0"/>
              <w:left w:val="single" w:color="auto" w:sz="4" w:space="0"/>
              <w:bottom w:val="single" w:color="auto" w:sz="4" w:space="0"/>
              <w:right w:val="single" w:color="auto" w:sz="4" w:space="0"/>
            </w:tcBorders>
            <w:shd w:val="clear" w:color="auto" w:fill="auto"/>
            <w:vAlign w:val="center"/>
          </w:tcPr>
          <w:p w14:paraId="116D64C0">
            <w:pPr>
              <w:pStyle w:val="4"/>
              <w:widowControl/>
              <w:spacing w:line="220" w:lineRule="exact"/>
              <w:ind w:firstLine="0" w:firstLineChars="0"/>
              <w:rPr>
                <w:rFonts w:ascii="Times New Roman" w:eastAsia="楷体"/>
                <w:sz w:val="18"/>
                <w:szCs w:val="18"/>
              </w:rPr>
            </w:pPr>
            <w:r>
              <w:rPr>
                <w:rFonts w:hint="eastAsia" w:ascii="Times New Roman" w:eastAsia="楷体" w:cs="宋体"/>
                <w:sz w:val="18"/>
                <w:szCs w:val="18"/>
              </w:rPr>
              <w:t>刊名（出版社）</w:t>
            </w:r>
          </w:p>
        </w:tc>
        <w:tc>
          <w:tcPr>
            <w:tcW w:w="859" w:type="dxa"/>
            <w:tcBorders>
              <w:top w:val="single" w:color="auto" w:sz="8" w:space="0"/>
              <w:left w:val="single" w:color="auto" w:sz="4" w:space="0"/>
              <w:bottom w:val="single" w:color="auto" w:sz="4" w:space="0"/>
              <w:right w:val="single" w:color="auto" w:sz="4" w:space="0"/>
            </w:tcBorders>
            <w:shd w:val="clear" w:color="auto" w:fill="auto"/>
            <w:vAlign w:val="center"/>
          </w:tcPr>
          <w:p w14:paraId="5D5F28F2">
            <w:pPr>
              <w:pStyle w:val="4"/>
              <w:widowControl/>
              <w:spacing w:line="220" w:lineRule="exact"/>
              <w:ind w:firstLine="0" w:firstLineChars="0"/>
              <w:rPr>
                <w:rFonts w:ascii="Times New Roman" w:eastAsia="楷体"/>
                <w:sz w:val="18"/>
                <w:szCs w:val="18"/>
              </w:rPr>
            </w:pPr>
            <w:r>
              <w:rPr>
                <w:rFonts w:hint="eastAsia" w:ascii="Times New Roman" w:eastAsia="楷体" w:cs="宋体"/>
                <w:sz w:val="18"/>
                <w:szCs w:val="18"/>
              </w:rPr>
              <w:t>发表（出版）时间</w:t>
            </w:r>
          </w:p>
        </w:tc>
        <w:tc>
          <w:tcPr>
            <w:tcW w:w="1855" w:type="dxa"/>
            <w:tcBorders>
              <w:top w:val="single" w:color="auto" w:sz="8" w:space="0"/>
              <w:left w:val="single" w:color="auto" w:sz="4" w:space="0"/>
              <w:bottom w:val="single" w:color="auto" w:sz="4" w:space="0"/>
              <w:right w:val="single" w:color="auto" w:sz="4" w:space="0"/>
            </w:tcBorders>
            <w:shd w:val="clear" w:color="auto" w:fill="auto"/>
            <w:vAlign w:val="center"/>
          </w:tcPr>
          <w:p w14:paraId="13CE5CAD">
            <w:pPr>
              <w:pStyle w:val="4"/>
              <w:widowControl/>
              <w:spacing w:line="220" w:lineRule="exact"/>
              <w:ind w:firstLine="0" w:firstLineChars="0"/>
              <w:rPr>
                <w:rFonts w:ascii="Times New Roman" w:eastAsia="楷体"/>
                <w:sz w:val="18"/>
                <w:szCs w:val="18"/>
              </w:rPr>
            </w:pPr>
            <w:r>
              <w:rPr>
                <w:rFonts w:hint="eastAsia" w:ascii="Times New Roman" w:eastAsia="楷体" w:cs="宋体"/>
                <w:sz w:val="18"/>
                <w:szCs w:val="18"/>
              </w:rPr>
              <w:t>作者（按刊物发表顺序）</w:t>
            </w:r>
          </w:p>
        </w:tc>
        <w:tc>
          <w:tcPr>
            <w:tcW w:w="988" w:type="dxa"/>
            <w:tcBorders>
              <w:top w:val="single" w:color="auto" w:sz="8" w:space="0"/>
              <w:left w:val="single" w:color="auto" w:sz="4" w:space="0"/>
              <w:bottom w:val="single" w:color="auto" w:sz="4" w:space="0"/>
              <w:right w:val="single" w:color="auto" w:sz="4" w:space="0"/>
            </w:tcBorders>
            <w:shd w:val="clear" w:color="auto" w:fill="auto"/>
            <w:vAlign w:val="center"/>
          </w:tcPr>
          <w:p w14:paraId="363E76B8">
            <w:pPr>
              <w:pStyle w:val="4"/>
              <w:widowControl/>
              <w:spacing w:line="220" w:lineRule="exact"/>
              <w:ind w:firstLine="0" w:firstLineChars="0"/>
              <w:rPr>
                <w:rFonts w:ascii="Times New Roman" w:eastAsia="楷体"/>
                <w:sz w:val="18"/>
                <w:szCs w:val="18"/>
              </w:rPr>
            </w:pPr>
            <w:r>
              <w:rPr>
                <w:rFonts w:hint="eastAsia" w:ascii="Times New Roman" w:eastAsia="楷体" w:cs="宋体"/>
                <w:sz w:val="18"/>
                <w:szCs w:val="18"/>
              </w:rPr>
              <w:t>通讯作者（含共同）</w:t>
            </w:r>
          </w:p>
        </w:tc>
        <w:tc>
          <w:tcPr>
            <w:tcW w:w="997" w:type="dxa"/>
            <w:tcBorders>
              <w:top w:val="single" w:color="auto" w:sz="8" w:space="0"/>
              <w:left w:val="single" w:color="auto" w:sz="4" w:space="0"/>
              <w:bottom w:val="single" w:color="auto" w:sz="4" w:space="0"/>
              <w:right w:val="single" w:color="auto" w:sz="4" w:space="0"/>
            </w:tcBorders>
            <w:shd w:val="clear" w:color="auto" w:fill="auto"/>
            <w:vAlign w:val="center"/>
          </w:tcPr>
          <w:p w14:paraId="376D83BA">
            <w:pPr>
              <w:pStyle w:val="4"/>
              <w:widowControl/>
              <w:spacing w:line="220" w:lineRule="exact"/>
              <w:ind w:firstLine="0" w:firstLineChars="0"/>
              <w:rPr>
                <w:rFonts w:ascii="Times New Roman" w:eastAsia="楷体"/>
                <w:sz w:val="18"/>
                <w:szCs w:val="18"/>
              </w:rPr>
            </w:pPr>
            <w:r>
              <w:rPr>
                <w:rFonts w:hint="eastAsia" w:ascii="Times New Roman" w:eastAsia="楷体" w:cs="宋体"/>
                <w:sz w:val="18"/>
                <w:szCs w:val="18"/>
              </w:rPr>
              <w:t>第一作者（含共同）</w:t>
            </w:r>
          </w:p>
        </w:tc>
        <w:tc>
          <w:tcPr>
            <w:tcW w:w="707" w:type="dxa"/>
            <w:tcBorders>
              <w:top w:val="single" w:color="auto" w:sz="8" w:space="0"/>
              <w:left w:val="single" w:color="auto" w:sz="4" w:space="0"/>
              <w:bottom w:val="single" w:color="auto" w:sz="4" w:space="0"/>
              <w:right w:val="single" w:color="auto" w:sz="8" w:space="0"/>
            </w:tcBorders>
            <w:shd w:val="clear" w:color="auto" w:fill="auto"/>
            <w:vAlign w:val="center"/>
          </w:tcPr>
          <w:p w14:paraId="5FA58BC4">
            <w:pPr>
              <w:pStyle w:val="4"/>
              <w:widowControl/>
              <w:spacing w:line="220" w:lineRule="exact"/>
              <w:ind w:firstLine="0" w:firstLineChars="0"/>
              <w:rPr>
                <w:rFonts w:ascii="Times New Roman" w:eastAsia="楷体"/>
                <w:sz w:val="18"/>
                <w:szCs w:val="18"/>
              </w:rPr>
            </w:pPr>
            <w:r>
              <w:rPr>
                <w:rFonts w:hint="eastAsia" w:ascii="Times New Roman" w:eastAsia="楷体" w:cs="宋体"/>
                <w:sz w:val="18"/>
                <w:szCs w:val="18"/>
              </w:rPr>
              <w:t>通讯/一作是否为第一完成人</w:t>
            </w:r>
          </w:p>
        </w:tc>
      </w:tr>
      <w:tr w14:paraId="75094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31" w:type="dxa"/>
            <w:tcBorders>
              <w:top w:val="single" w:color="auto" w:sz="4" w:space="0"/>
              <w:left w:val="single" w:color="auto" w:sz="8" w:space="0"/>
              <w:bottom w:val="single" w:color="auto" w:sz="4" w:space="0"/>
              <w:right w:val="single" w:color="auto" w:sz="4" w:space="0"/>
            </w:tcBorders>
            <w:shd w:val="clear" w:color="auto" w:fill="auto"/>
            <w:vAlign w:val="center"/>
          </w:tcPr>
          <w:p w14:paraId="01F4D12D">
            <w:pPr>
              <w:widowControl/>
              <w:spacing w:line="220" w:lineRule="exact"/>
              <w:jc w:val="center"/>
              <w:rPr>
                <w:rFonts w:eastAsia="楷体"/>
                <w:kern w:val="0"/>
                <w:sz w:val="18"/>
                <w:szCs w:val="18"/>
              </w:rPr>
            </w:pPr>
            <w:r>
              <w:rPr>
                <w:rFonts w:hint="eastAsia" w:eastAsia="楷体"/>
                <w:kern w:val="0"/>
                <w:sz w:val="18"/>
                <w:szCs w:val="18"/>
              </w:rPr>
              <w:t>1</w:t>
            </w:r>
          </w:p>
        </w:tc>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2A16DF80">
            <w:pPr>
              <w:pStyle w:val="4"/>
              <w:widowControl/>
              <w:spacing w:line="220" w:lineRule="exact"/>
              <w:ind w:firstLine="0" w:firstLineChars="0"/>
              <w:rPr>
                <w:rFonts w:ascii="Times New Roman" w:eastAsia="楷体"/>
                <w:sz w:val="18"/>
                <w:szCs w:val="18"/>
              </w:rPr>
            </w:pPr>
            <w:r>
              <w:rPr>
                <w:rFonts w:ascii="Times New Roman" w:eastAsia="楷体"/>
                <w:sz w:val="18"/>
                <w:szCs w:val="18"/>
              </w:rPr>
              <w:t>Peptide hormones in plants.</w:t>
            </w: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14:paraId="2483B696">
            <w:pPr>
              <w:pStyle w:val="4"/>
              <w:widowControl/>
              <w:spacing w:line="220" w:lineRule="exact"/>
              <w:ind w:firstLine="0" w:firstLineChars="0"/>
              <w:rPr>
                <w:rFonts w:ascii="Times New Roman" w:eastAsia="楷体"/>
                <w:sz w:val="18"/>
                <w:szCs w:val="18"/>
              </w:rPr>
            </w:pPr>
            <w:r>
              <w:rPr>
                <w:rFonts w:ascii="Times New Roman" w:eastAsia="楷体"/>
                <w:sz w:val="18"/>
                <w:szCs w:val="18"/>
              </w:rPr>
              <w:t>Molecular Horticulture</w:t>
            </w:r>
          </w:p>
        </w:tc>
        <w:tc>
          <w:tcPr>
            <w:tcW w:w="859" w:type="dxa"/>
            <w:tcBorders>
              <w:top w:val="single" w:color="auto" w:sz="4" w:space="0"/>
              <w:left w:val="single" w:color="auto" w:sz="4" w:space="0"/>
              <w:bottom w:val="single" w:color="auto" w:sz="4" w:space="0"/>
              <w:right w:val="single" w:color="auto" w:sz="4" w:space="0"/>
            </w:tcBorders>
            <w:shd w:val="clear" w:color="auto" w:fill="auto"/>
            <w:vAlign w:val="center"/>
          </w:tcPr>
          <w:p w14:paraId="0C54DFCD">
            <w:pPr>
              <w:pStyle w:val="4"/>
              <w:widowControl/>
              <w:spacing w:line="220" w:lineRule="exact"/>
              <w:ind w:firstLine="0" w:firstLineChars="0"/>
              <w:rPr>
                <w:rFonts w:ascii="Times New Roman" w:eastAsia="楷体"/>
                <w:sz w:val="18"/>
                <w:szCs w:val="18"/>
              </w:rPr>
            </w:pPr>
            <w:r>
              <w:rPr>
                <w:rFonts w:ascii="Times New Roman" w:eastAsia="楷体"/>
                <w:sz w:val="18"/>
                <w:szCs w:val="18"/>
              </w:rPr>
              <w:t>202</w:t>
            </w:r>
            <w:r>
              <w:rPr>
                <w:rFonts w:hint="eastAsia" w:ascii="Times New Roman" w:eastAsia="楷体"/>
                <w:sz w:val="18"/>
                <w:szCs w:val="18"/>
              </w:rPr>
              <w:t>5</w:t>
            </w:r>
            <w:r>
              <w:rPr>
                <w:rFonts w:ascii="Times New Roman" w:eastAsia="楷体"/>
                <w:sz w:val="18"/>
                <w:szCs w:val="18"/>
              </w:rPr>
              <w:t>年1月</w:t>
            </w:r>
            <w:r>
              <w:rPr>
                <w:rFonts w:hint="eastAsia" w:ascii="Times New Roman" w:eastAsia="楷体"/>
                <w:sz w:val="18"/>
                <w:szCs w:val="18"/>
              </w:rPr>
              <w:t>23</w:t>
            </w:r>
            <w:r>
              <w:rPr>
                <w:rFonts w:ascii="Times New Roman" w:eastAsia="楷体"/>
                <w:sz w:val="18"/>
                <w:szCs w:val="18"/>
              </w:rPr>
              <w:t>日</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center"/>
          </w:tcPr>
          <w:p w14:paraId="6A2C35A8">
            <w:pPr>
              <w:pStyle w:val="4"/>
              <w:widowControl/>
              <w:spacing w:line="220" w:lineRule="exact"/>
              <w:ind w:firstLine="0" w:firstLineChars="0"/>
              <w:rPr>
                <w:rFonts w:ascii="Times New Roman" w:eastAsia="楷体"/>
                <w:sz w:val="18"/>
                <w:szCs w:val="18"/>
              </w:rPr>
            </w:pPr>
            <w:r>
              <w:rPr>
                <w:rFonts w:ascii="Times New Roman" w:eastAsia="楷体"/>
                <w:sz w:val="18"/>
                <w:szCs w:val="18"/>
              </w:rPr>
              <w:t>Zhenbiao Zhang#, Huibin Han#, Junxiang Zhao#, Zhiwen Liu#, Lei Deng#, Liuji Wu#, Junpeng Niu,</w:t>
            </w:r>
          </w:p>
          <w:p w14:paraId="1205FEE0">
            <w:pPr>
              <w:pStyle w:val="4"/>
              <w:widowControl/>
              <w:spacing w:line="220" w:lineRule="exact"/>
              <w:ind w:firstLine="0" w:firstLineChars="0"/>
              <w:rPr>
                <w:rFonts w:ascii="Times New Roman" w:eastAsia="楷体"/>
                <w:sz w:val="18"/>
                <w:szCs w:val="18"/>
              </w:rPr>
            </w:pPr>
            <w:r>
              <w:rPr>
                <w:rFonts w:ascii="Times New Roman" w:eastAsia="楷体"/>
                <w:sz w:val="18"/>
                <w:szCs w:val="18"/>
              </w:rPr>
              <w:t>Yongfeng Guo*, Guodong Wang*, Xiaoping Gou*, Chao Li*, Chuanyou Li* and Chun‑Ming Liu*</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1B140492">
            <w:pPr>
              <w:pStyle w:val="4"/>
              <w:widowControl/>
              <w:spacing w:line="220" w:lineRule="exact"/>
              <w:ind w:firstLine="0" w:firstLineChars="0"/>
              <w:rPr>
                <w:rFonts w:ascii="Times New Roman" w:eastAsia="楷体"/>
                <w:sz w:val="18"/>
                <w:szCs w:val="18"/>
              </w:rPr>
            </w:pPr>
            <w:r>
              <w:rPr>
                <w:rFonts w:ascii="Times New Roman" w:eastAsia="楷体"/>
                <w:sz w:val="18"/>
                <w:szCs w:val="18"/>
              </w:rPr>
              <w:t>Yongfeng Guo, Guodong Wang, Xiaoping Gou, Chao Li, Chuanyou Li,Chun‑Ming Liu</w:t>
            </w:r>
          </w:p>
        </w:tc>
        <w:tc>
          <w:tcPr>
            <w:tcW w:w="997" w:type="dxa"/>
            <w:tcBorders>
              <w:top w:val="single" w:color="auto" w:sz="4" w:space="0"/>
              <w:left w:val="single" w:color="auto" w:sz="4" w:space="0"/>
              <w:bottom w:val="single" w:color="auto" w:sz="4" w:space="0"/>
              <w:right w:val="single" w:color="auto" w:sz="4" w:space="0"/>
            </w:tcBorders>
            <w:shd w:val="clear" w:color="auto" w:fill="auto"/>
            <w:vAlign w:val="center"/>
          </w:tcPr>
          <w:p w14:paraId="35DF27E5">
            <w:pPr>
              <w:widowControl/>
              <w:spacing w:line="220" w:lineRule="exact"/>
              <w:rPr>
                <w:rFonts w:eastAsia="楷体"/>
                <w:kern w:val="0"/>
                <w:sz w:val="18"/>
                <w:szCs w:val="18"/>
              </w:rPr>
            </w:pPr>
            <w:r>
              <w:rPr>
                <w:rFonts w:eastAsia="楷体"/>
                <w:sz w:val="18"/>
                <w:szCs w:val="18"/>
              </w:rPr>
              <w:t>Zhenbiao Zhang, Huibin Han, Junxiang Zhao, Zhiwen Liu, Lei Deng, Liuji Wu</w:t>
            </w:r>
          </w:p>
        </w:tc>
        <w:tc>
          <w:tcPr>
            <w:tcW w:w="707" w:type="dxa"/>
            <w:tcBorders>
              <w:top w:val="single" w:color="auto" w:sz="4" w:space="0"/>
              <w:left w:val="single" w:color="auto" w:sz="4" w:space="0"/>
              <w:bottom w:val="single" w:color="auto" w:sz="4" w:space="0"/>
              <w:right w:val="single" w:color="auto" w:sz="8" w:space="0"/>
            </w:tcBorders>
            <w:shd w:val="clear" w:color="auto" w:fill="auto"/>
            <w:vAlign w:val="center"/>
          </w:tcPr>
          <w:p w14:paraId="40940F38">
            <w:pPr>
              <w:pStyle w:val="4"/>
              <w:widowControl/>
              <w:spacing w:line="220" w:lineRule="exact"/>
              <w:ind w:firstLine="0" w:firstLineChars="0"/>
              <w:jc w:val="center"/>
              <w:rPr>
                <w:rFonts w:ascii="Times New Roman" w:eastAsia="楷体"/>
                <w:sz w:val="18"/>
                <w:szCs w:val="18"/>
              </w:rPr>
            </w:pPr>
            <w:r>
              <w:rPr>
                <w:rFonts w:hint="eastAsia" w:ascii="Times New Roman" w:eastAsia="楷体"/>
                <w:sz w:val="18"/>
                <w:szCs w:val="18"/>
              </w:rPr>
              <w:t>是</w:t>
            </w:r>
          </w:p>
        </w:tc>
      </w:tr>
      <w:tr w14:paraId="381C68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1" w:type="dxa"/>
            <w:tcBorders>
              <w:top w:val="single" w:color="auto" w:sz="4" w:space="0"/>
              <w:left w:val="single" w:color="auto" w:sz="8" w:space="0"/>
              <w:bottom w:val="single" w:color="auto" w:sz="4" w:space="0"/>
              <w:right w:val="single" w:color="auto" w:sz="4" w:space="0"/>
            </w:tcBorders>
            <w:shd w:val="clear" w:color="auto" w:fill="auto"/>
            <w:vAlign w:val="center"/>
          </w:tcPr>
          <w:p w14:paraId="0F046B37">
            <w:pPr>
              <w:widowControl/>
              <w:spacing w:line="220" w:lineRule="exact"/>
              <w:jc w:val="center"/>
              <w:rPr>
                <w:rFonts w:eastAsia="楷体"/>
                <w:kern w:val="0"/>
                <w:sz w:val="18"/>
                <w:szCs w:val="18"/>
              </w:rPr>
            </w:pPr>
            <w:r>
              <w:rPr>
                <w:rFonts w:hint="eastAsia" w:eastAsia="楷体"/>
                <w:kern w:val="0"/>
                <w:sz w:val="18"/>
                <w:szCs w:val="18"/>
              </w:rPr>
              <w:t>2</w:t>
            </w:r>
          </w:p>
        </w:tc>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2AE0E6BE">
            <w:pPr>
              <w:pStyle w:val="4"/>
              <w:widowControl/>
              <w:spacing w:line="220" w:lineRule="exact"/>
              <w:ind w:firstLine="0" w:firstLineChars="0"/>
              <w:rPr>
                <w:rFonts w:ascii="Times New Roman" w:eastAsia="楷体" w:cstheme="minorBidi"/>
                <w:kern w:val="0"/>
                <w:sz w:val="18"/>
                <w:szCs w:val="18"/>
              </w:rPr>
            </w:pPr>
            <w:r>
              <w:rPr>
                <w:rFonts w:ascii="Times New Roman" w:eastAsia="楷体" w:cstheme="minorBidi"/>
                <w:kern w:val="0"/>
                <w:sz w:val="18"/>
                <w:szCs w:val="18"/>
              </w:rPr>
              <w:t>SCOOP10 and SCOOP12 peptides act through MIK2 receptor-like kinase to antagonistically regulate Arabidopsis leaf senescence</w:t>
            </w: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14:paraId="69413D8E">
            <w:pPr>
              <w:pStyle w:val="4"/>
              <w:widowControl/>
              <w:spacing w:line="220" w:lineRule="exact"/>
              <w:ind w:firstLine="0" w:firstLineChars="0"/>
              <w:rPr>
                <w:rFonts w:ascii="Times New Roman" w:eastAsia="楷体" w:cstheme="minorBidi"/>
                <w:kern w:val="0"/>
                <w:sz w:val="18"/>
                <w:szCs w:val="18"/>
              </w:rPr>
            </w:pPr>
            <w:r>
              <w:rPr>
                <w:rFonts w:ascii="Times New Roman" w:eastAsia="楷体"/>
                <w:sz w:val="18"/>
                <w:szCs w:val="18"/>
              </w:rPr>
              <w:t>Molecular Plant</w:t>
            </w:r>
          </w:p>
        </w:tc>
        <w:tc>
          <w:tcPr>
            <w:tcW w:w="859" w:type="dxa"/>
            <w:tcBorders>
              <w:top w:val="single" w:color="auto" w:sz="4" w:space="0"/>
              <w:left w:val="single" w:color="auto" w:sz="4" w:space="0"/>
              <w:bottom w:val="single" w:color="auto" w:sz="4" w:space="0"/>
              <w:right w:val="single" w:color="auto" w:sz="4" w:space="0"/>
            </w:tcBorders>
            <w:shd w:val="clear" w:color="auto" w:fill="auto"/>
            <w:vAlign w:val="center"/>
          </w:tcPr>
          <w:p w14:paraId="197DB430">
            <w:pPr>
              <w:widowControl/>
              <w:spacing w:line="220" w:lineRule="exact"/>
              <w:rPr>
                <w:rFonts w:eastAsia="楷体" w:cstheme="minorBidi"/>
                <w:kern w:val="0"/>
                <w:sz w:val="18"/>
                <w:szCs w:val="18"/>
              </w:rPr>
            </w:pPr>
            <w:r>
              <w:rPr>
                <w:rFonts w:eastAsia="楷体"/>
                <w:sz w:val="18"/>
                <w:szCs w:val="18"/>
              </w:rPr>
              <w:t>202</w:t>
            </w:r>
            <w:r>
              <w:rPr>
                <w:rFonts w:hint="eastAsia" w:eastAsia="楷体"/>
                <w:sz w:val="18"/>
                <w:szCs w:val="18"/>
              </w:rPr>
              <w:t>4</w:t>
            </w:r>
            <w:r>
              <w:rPr>
                <w:rFonts w:eastAsia="楷体"/>
                <w:sz w:val="18"/>
                <w:szCs w:val="18"/>
              </w:rPr>
              <w:t>年1</w:t>
            </w:r>
            <w:r>
              <w:rPr>
                <w:rFonts w:hint="eastAsia" w:eastAsia="楷体"/>
                <w:sz w:val="18"/>
                <w:szCs w:val="18"/>
              </w:rPr>
              <w:t>0</w:t>
            </w:r>
            <w:r>
              <w:rPr>
                <w:rFonts w:eastAsia="楷体"/>
                <w:sz w:val="18"/>
                <w:szCs w:val="18"/>
              </w:rPr>
              <w:t>月</w:t>
            </w:r>
            <w:r>
              <w:rPr>
                <w:rFonts w:hint="eastAsia" w:eastAsia="楷体"/>
                <w:sz w:val="18"/>
                <w:szCs w:val="18"/>
              </w:rPr>
              <w:t>28</w:t>
            </w:r>
            <w:r>
              <w:rPr>
                <w:rFonts w:eastAsia="楷体"/>
                <w:sz w:val="18"/>
                <w:szCs w:val="18"/>
              </w:rPr>
              <w:t>日</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center"/>
          </w:tcPr>
          <w:p w14:paraId="5D81B8CE">
            <w:pPr>
              <w:pStyle w:val="4"/>
              <w:widowControl/>
              <w:spacing w:line="220" w:lineRule="exact"/>
              <w:ind w:firstLine="0" w:firstLineChars="0"/>
              <w:rPr>
                <w:rFonts w:ascii="Times New Roman" w:eastAsia="楷体" w:cstheme="minorBidi"/>
                <w:kern w:val="0"/>
                <w:sz w:val="18"/>
                <w:szCs w:val="18"/>
              </w:rPr>
            </w:pPr>
            <w:r>
              <w:rPr>
                <w:rFonts w:ascii="Times New Roman" w:eastAsia="楷体" w:cstheme="minorBidi"/>
                <w:kern w:val="0"/>
                <w:sz w:val="18"/>
                <w:szCs w:val="18"/>
              </w:rPr>
              <w:t>Zhenbiao Zhang, Nora Gigli-Bisceglia</w:t>
            </w:r>
            <w:r>
              <w:rPr>
                <w:rFonts w:ascii="Times New Roman" w:eastAsia="楷体"/>
                <w:sz w:val="18"/>
                <w:szCs w:val="18"/>
              </w:rPr>
              <w:t>*</w:t>
            </w:r>
            <w:r>
              <w:rPr>
                <w:rFonts w:ascii="Times New Roman" w:eastAsia="楷体" w:cstheme="minorBidi"/>
                <w:kern w:val="0"/>
                <w:sz w:val="18"/>
                <w:szCs w:val="18"/>
              </w:rPr>
              <w:t>, Wei Li, Saijie Li, Jie Wang, Junfeng Liu,Christa Testerink, Yongfeng Guo</w:t>
            </w:r>
            <w:r>
              <w:rPr>
                <w:rFonts w:ascii="Times New Roman" w:eastAsia="楷体"/>
                <w:sz w:val="18"/>
                <w:szCs w:val="18"/>
              </w:rPr>
              <w:t>*</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1B5BA30C">
            <w:pPr>
              <w:pStyle w:val="4"/>
              <w:widowControl/>
              <w:spacing w:line="220" w:lineRule="exact"/>
              <w:ind w:firstLine="0" w:firstLineChars="0"/>
              <w:rPr>
                <w:rFonts w:ascii="Times New Roman" w:eastAsia="楷体" w:cstheme="minorBidi"/>
                <w:kern w:val="0"/>
                <w:sz w:val="18"/>
                <w:szCs w:val="18"/>
              </w:rPr>
            </w:pPr>
            <w:r>
              <w:rPr>
                <w:rFonts w:ascii="Times New Roman" w:eastAsia="楷体" w:cstheme="minorBidi"/>
                <w:kern w:val="0"/>
                <w:sz w:val="18"/>
                <w:szCs w:val="18"/>
              </w:rPr>
              <w:t>Nora Gigli-Bisceglia</w:t>
            </w:r>
            <w:r>
              <w:rPr>
                <w:rFonts w:ascii="Times New Roman" w:eastAsia="楷体"/>
                <w:sz w:val="18"/>
                <w:szCs w:val="18"/>
              </w:rPr>
              <w:t>,</w:t>
            </w:r>
            <w:r>
              <w:rPr>
                <w:rFonts w:hint="eastAsia" w:ascii="Times New Roman" w:eastAsia="楷体"/>
                <w:sz w:val="18"/>
                <w:szCs w:val="18"/>
              </w:rPr>
              <w:t xml:space="preserve"> </w:t>
            </w:r>
            <w:r>
              <w:rPr>
                <w:rFonts w:ascii="Times New Roman" w:eastAsia="楷体" w:cstheme="minorBidi"/>
                <w:kern w:val="0"/>
                <w:sz w:val="18"/>
                <w:szCs w:val="18"/>
              </w:rPr>
              <w:t>Yongfeng Guo</w:t>
            </w:r>
          </w:p>
        </w:tc>
        <w:tc>
          <w:tcPr>
            <w:tcW w:w="997" w:type="dxa"/>
            <w:tcBorders>
              <w:top w:val="single" w:color="auto" w:sz="4" w:space="0"/>
              <w:left w:val="single" w:color="auto" w:sz="4" w:space="0"/>
              <w:bottom w:val="single" w:color="auto" w:sz="4" w:space="0"/>
              <w:right w:val="single" w:color="auto" w:sz="4" w:space="0"/>
            </w:tcBorders>
            <w:shd w:val="clear" w:color="auto" w:fill="auto"/>
            <w:vAlign w:val="center"/>
          </w:tcPr>
          <w:p w14:paraId="7255EA81">
            <w:pPr>
              <w:pStyle w:val="4"/>
              <w:widowControl/>
              <w:spacing w:line="220" w:lineRule="exact"/>
              <w:ind w:firstLine="0" w:firstLineChars="0"/>
              <w:rPr>
                <w:rFonts w:ascii="Times New Roman" w:eastAsia="楷体" w:cstheme="minorBidi"/>
                <w:kern w:val="0"/>
                <w:sz w:val="18"/>
                <w:szCs w:val="18"/>
              </w:rPr>
            </w:pPr>
            <w:r>
              <w:rPr>
                <w:rFonts w:ascii="Times New Roman" w:eastAsia="楷体" w:cstheme="minorBidi"/>
                <w:kern w:val="0"/>
                <w:sz w:val="18"/>
                <w:szCs w:val="18"/>
              </w:rPr>
              <w:t>Zhenbiao Zhang</w:t>
            </w:r>
          </w:p>
        </w:tc>
        <w:tc>
          <w:tcPr>
            <w:tcW w:w="707" w:type="dxa"/>
            <w:tcBorders>
              <w:top w:val="single" w:color="auto" w:sz="4" w:space="0"/>
              <w:left w:val="single" w:color="auto" w:sz="4" w:space="0"/>
              <w:bottom w:val="single" w:color="auto" w:sz="4" w:space="0"/>
              <w:right w:val="single" w:color="auto" w:sz="8" w:space="0"/>
            </w:tcBorders>
            <w:shd w:val="clear" w:color="auto" w:fill="auto"/>
            <w:vAlign w:val="center"/>
          </w:tcPr>
          <w:p w14:paraId="41E16070">
            <w:pPr>
              <w:pStyle w:val="4"/>
              <w:widowControl/>
              <w:spacing w:line="220" w:lineRule="exact"/>
              <w:ind w:firstLine="0" w:firstLineChars="0"/>
              <w:jc w:val="center"/>
              <w:rPr>
                <w:rFonts w:ascii="Times New Roman" w:eastAsia="楷体" w:cstheme="minorBidi"/>
                <w:kern w:val="0"/>
                <w:sz w:val="18"/>
                <w:szCs w:val="18"/>
              </w:rPr>
            </w:pPr>
            <w:r>
              <w:rPr>
                <w:rFonts w:hint="eastAsia" w:ascii="Times New Roman" w:eastAsia="楷体"/>
                <w:sz w:val="18"/>
                <w:szCs w:val="18"/>
              </w:rPr>
              <w:t>是</w:t>
            </w:r>
          </w:p>
        </w:tc>
      </w:tr>
      <w:tr w14:paraId="61085C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31" w:type="dxa"/>
            <w:tcBorders>
              <w:top w:val="single" w:color="auto" w:sz="4" w:space="0"/>
              <w:left w:val="single" w:color="auto" w:sz="8" w:space="0"/>
              <w:bottom w:val="single" w:color="auto" w:sz="4" w:space="0"/>
              <w:right w:val="single" w:color="auto" w:sz="4" w:space="0"/>
            </w:tcBorders>
            <w:shd w:val="clear" w:color="auto" w:fill="auto"/>
            <w:vAlign w:val="center"/>
          </w:tcPr>
          <w:p w14:paraId="65C7B5EA">
            <w:pPr>
              <w:widowControl/>
              <w:spacing w:line="220" w:lineRule="exact"/>
              <w:jc w:val="center"/>
              <w:rPr>
                <w:rFonts w:eastAsia="楷体"/>
                <w:kern w:val="0"/>
                <w:sz w:val="18"/>
                <w:szCs w:val="18"/>
              </w:rPr>
            </w:pPr>
            <w:r>
              <w:rPr>
                <w:rFonts w:hint="eastAsia" w:eastAsia="楷体"/>
                <w:kern w:val="0"/>
                <w:sz w:val="18"/>
                <w:szCs w:val="18"/>
              </w:rPr>
              <w:t>3</w:t>
            </w:r>
          </w:p>
        </w:tc>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67435580">
            <w:pPr>
              <w:widowControl/>
              <w:spacing w:line="220" w:lineRule="exact"/>
              <w:rPr>
                <w:rFonts w:eastAsia="楷体"/>
                <w:kern w:val="0"/>
                <w:sz w:val="18"/>
                <w:szCs w:val="18"/>
              </w:rPr>
            </w:pPr>
            <w:r>
              <w:rPr>
                <w:rFonts w:hint="eastAsia" w:eastAsia="楷体"/>
                <w:kern w:val="0"/>
                <w:sz w:val="18"/>
                <w:szCs w:val="18"/>
              </w:rPr>
              <w:t>Small secreted peptides (SSPs) in tomato and their potential roles in drought stress response</w:t>
            </w: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14:paraId="4B704395">
            <w:pPr>
              <w:widowControl/>
              <w:spacing w:line="220" w:lineRule="exact"/>
              <w:rPr>
                <w:rFonts w:eastAsia="楷体"/>
                <w:kern w:val="0"/>
                <w:sz w:val="18"/>
                <w:szCs w:val="18"/>
              </w:rPr>
            </w:pPr>
            <w:r>
              <w:rPr>
                <w:rFonts w:eastAsia="楷体"/>
                <w:sz w:val="18"/>
                <w:szCs w:val="18"/>
              </w:rPr>
              <w:t>Molecular Horticulture</w:t>
            </w:r>
          </w:p>
        </w:tc>
        <w:tc>
          <w:tcPr>
            <w:tcW w:w="859" w:type="dxa"/>
            <w:tcBorders>
              <w:top w:val="single" w:color="auto" w:sz="4" w:space="0"/>
              <w:left w:val="single" w:color="auto" w:sz="4" w:space="0"/>
              <w:bottom w:val="single" w:color="auto" w:sz="4" w:space="0"/>
              <w:right w:val="single" w:color="auto" w:sz="4" w:space="0"/>
            </w:tcBorders>
            <w:shd w:val="clear" w:color="auto" w:fill="auto"/>
            <w:vAlign w:val="center"/>
          </w:tcPr>
          <w:p w14:paraId="7E6E909F">
            <w:pPr>
              <w:widowControl/>
              <w:spacing w:line="220" w:lineRule="exact"/>
              <w:rPr>
                <w:rFonts w:eastAsia="楷体"/>
                <w:kern w:val="0"/>
                <w:sz w:val="18"/>
                <w:szCs w:val="18"/>
              </w:rPr>
            </w:pPr>
            <w:r>
              <w:rPr>
                <w:rFonts w:eastAsia="楷体"/>
                <w:sz w:val="18"/>
                <w:szCs w:val="18"/>
              </w:rPr>
              <w:t>202</w:t>
            </w:r>
            <w:r>
              <w:rPr>
                <w:rFonts w:hint="eastAsia" w:eastAsia="楷体"/>
                <w:sz w:val="18"/>
                <w:szCs w:val="18"/>
              </w:rPr>
              <w:t>3</w:t>
            </w:r>
            <w:r>
              <w:rPr>
                <w:rFonts w:eastAsia="楷体"/>
                <w:sz w:val="18"/>
                <w:szCs w:val="18"/>
              </w:rPr>
              <w:t>年</w:t>
            </w:r>
            <w:r>
              <w:rPr>
                <w:rFonts w:hint="eastAsia" w:eastAsia="楷体"/>
                <w:sz w:val="18"/>
                <w:szCs w:val="18"/>
              </w:rPr>
              <w:t>8</w:t>
            </w:r>
            <w:r>
              <w:rPr>
                <w:rFonts w:eastAsia="楷体"/>
                <w:sz w:val="18"/>
                <w:szCs w:val="18"/>
              </w:rPr>
              <w:t>月</w:t>
            </w:r>
            <w:r>
              <w:rPr>
                <w:rFonts w:hint="eastAsia" w:eastAsia="楷体"/>
                <w:sz w:val="18"/>
                <w:szCs w:val="18"/>
              </w:rPr>
              <w:t>25</w:t>
            </w:r>
            <w:r>
              <w:rPr>
                <w:rFonts w:eastAsia="楷体"/>
                <w:sz w:val="18"/>
                <w:szCs w:val="18"/>
              </w:rPr>
              <w:t>日</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center"/>
          </w:tcPr>
          <w:p w14:paraId="10140331">
            <w:pPr>
              <w:pStyle w:val="4"/>
              <w:widowControl/>
              <w:spacing w:line="220" w:lineRule="exact"/>
              <w:ind w:firstLine="0" w:firstLineChars="0"/>
              <w:rPr>
                <w:rFonts w:ascii="Times New Roman" w:eastAsia="楷体"/>
                <w:sz w:val="18"/>
                <w:szCs w:val="18"/>
              </w:rPr>
            </w:pPr>
            <w:r>
              <w:rPr>
                <w:rFonts w:ascii="Times New Roman" w:eastAsia="楷体"/>
                <w:sz w:val="18"/>
                <w:szCs w:val="18"/>
              </w:rPr>
              <w:t>Kexin Xu#, Dongdong Tian#, TingJin Wang, Aijun Zhang, Mohamed Abdou Youssef Elsadek, Weihong Liu,</w:t>
            </w:r>
          </w:p>
          <w:p w14:paraId="688D892D">
            <w:pPr>
              <w:pStyle w:val="4"/>
              <w:widowControl/>
              <w:spacing w:line="220" w:lineRule="exact"/>
              <w:ind w:firstLine="0" w:firstLineChars="0"/>
              <w:rPr>
                <w:rFonts w:ascii="Times New Roman" w:eastAsia="楷体"/>
                <w:sz w:val="18"/>
                <w:szCs w:val="18"/>
              </w:rPr>
            </w:pPr>
            <w:r>
              <w:rPr>
                <w:rFonts w:ascii="Times New Roman" w:eastAsia="楷体"/>
                <w:sz w:val="18"/>
                <w:szCs w:val="18"/>
              </w:rPr>
              <w:t>Liping Chen*, Yongfeng Guo*</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358E11ED">
            <w:pPr>
              <w:widowControl/>
              <w:spacing w:line="220" w:lineRule="exact"/>
              <w:rPr>
                <w:rFonts w:eastAsia="楷体"/>
                <w:kern w:val="0"/>
                <w:sz w:val="18"/>
                <w:szCs w:val="18"/>
              </w:rPr>
            </w:pPr>
            <w:r>
              <w:rPr>
                <w:rFonts w:eastAsia="楷体"/>
                <w:sz w:val="18"/>
                <w:szCs w:val="18"/>
              </w:rPr>
              <w:t>Liping Chen, Yongfeng Guo</w:t>
            </w:r>
          </w:p>
        </w:tc>
        <w:tc>
          <w:tcPr>
            <w:tcW w:w="997" w:type="dxa"/>
            <w:tcBorders>
              <w:top w:val="single" w:color="auto" w:sz="4" w:space="0"/>
              <w:left w:val="single" w:color="auto" w:sz="4" w:space="0"/>
              <w:bottom w:val="single" w:color="auto" w:sz="4" w:space="0"/>
              <w:right w:val="single" w:color="auto" w:sz="4" w:space="0"/>
            </w:tcBorders>
            <w:shd w:val="clear" w:color="auto" w:fill="auto"/>
            <w:vAlign w:val="center"/>
          </w:tcPr>
          <w:p w14:paraId="235C37AA">
            <w:pPr>
              <w:widowControl/>
              <w:spacing w:line="220" w:lineRule="exact"/>
              <w:rPr>
                <w:rFonts w:eastAsia="楷体"/>
                <w:kern w:val="0"/>
                <w:sz w:val="18"/>
                <w:szCs w:val="18"/>
              </w:rPr>
            </w:pPr>
            <w:r>
              <w:rPr>
                <w:rFonts w:eastAsia="楷体"/>
                <w:sz w:val="18"/>
                <w:szCs w:val="18"/>
              </w:rPr>
              <w:t>Kexin Xu, Dongdong Tian</w:t>
            </w:r>
          </w:p>
        </w:tc>
        <w:tc>
          <w:tcPr>
            <w:tcW w:w="707" w:type="dxa"/>
            <w:tcBorders>
              <w:top w:val="single" w:color="auto" w:sz="4" w:space="0"/>
              <w:left w:val="single" w:color="auto" w:sz="4" w:space="0"/>
              <w:bottom w:val="single" w:color="auto" w:sz="4" w:space="0"/>
              <w:right w:val="single" w:color="auto" w:sz="8" w:space="0"/>
            </w:tcBorders>
            <w:shd w:val="clear" w:color="auto" w:fill="auto"/>
            <w:vAlign w:val="center"/>
          </w:tcPr>
          <w:p w14:paraId="7FDE411D">
            <w:pPr>
              <w:pStyle w:val="4"/>
              <w:widowControl/>
              <w:spacing w:line="220" w:lineRule="exact"/>
              <w:ind w:firstLine="0" w:firstLineChars="0"/>
              <w:jc w:val="center"/>
              <w:rPr>
                <w:rFonts w:ascii="Times New Roman" w:eastAsia="楷体"/>
                <w:kern w:val="0"/>
                <w:sz w:val="18"/>
                <w:szCs w:val="18"/>
              </w:rPr>
            </w:pPr>
            <w:r>
              <w:rPr>
                <w:rFonts w:hint="eastAsia" w:ascii="Times New Roman" w:eastAsia="楷体"/>
                <w:sz w:val="18"/>
                <w:szCs w:val="18"/>
              </w:rPr>
              <w:t>是</w:t>
            </w:r>
          </w:p>
        </w:tc>
      </w:tr>
      <w:tr w14:paraId="625B4C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31" w:type="dxa"/>
            <w:tcBorders>
              <w:top w:val="single" w:color="auto" w:sz="4" w:space="0"/>
              <w:left w:val="single" w:color="auto" w:sz="8" w:space="0"/>
              <w:bottom w:val="single" w:color="auto" w:sz="4" w:space="0"/>
              <w:right w:val="single" w:color="auto" w:sz="4" w:space="0"/>
            </w:tcBorders>
            <w:shd w:val="clear" w:color="auto" w:fill="auto"/>
            <w:vAlign w:val="center"/>
          </w:tcPr>
          <w:p w14:paraId="65259058">
            <w:pPr>
              <w:widowControl/>
              <w:spacing w:line="220" w:lineRule="exact"/>
              <w:jc w:val="center"/>
              <w:rPr>
                <w:rFonts w:eastAsia="楷体" w:cstheme="minorBidi"/>
                <w:kern w:val="0"/>
                <w:sz w:val="18"/>
                <w:szCs w:val="18"/>
              </w:rPr>
            </w:pPr>
            <w:r>
              <w:rPr>
                <w:rFonts w:hint="eastAsia" w:eastAsia="楷体"/>
                <w:kern w:val="0"/>
                <w:sz w:val="18"/>
                <w:szCs w:val="18"/>
              </w:rPr>
              <w:t>4</w:t>
            </w:r>
          </w:p>
        </w:tc>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1010A11B">
            <w:pPr>
              <w:pStyle w:val="4"/>
              <w:widowControl/>
              <w:spacing w:line="220" w:lineRule="exact"/>
              <w:ind w:firstLine="0" w:firstLineChars="0"/>
              <w:rPr>
                <w:rFonts w:ascii="Times New Roman" w:eastAsia="楷体"/>
                <w:sz w:val="18"/>
                <w:szCs w:val="18"/>
              </w:rPr>
            </w:pPr>
            <w:r>
              <w:rPr>
                <w:rFonts w:ascii="Times New Roman" w:eastAsia="楷体"/>
                <w:sz w:val="18"/>
                <w:szCs w:val="18"/>
              </w:rPr>
              <w:t>CLE14 functions as a “brake signal” to suppress age-dependent and stress-induced leaf senescence by promoting JUB1-mediated ROS scavenging in Arabidopsis</w:t>
            </w: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14:paraId="63A12ECC">
            <w:pPr>
              <w:widowControl/>
              <w:spacing w:line="220" w:lineRule="exact"/>
              <w:rPr>
                <w:rFonts w:eastAsia="楷体"/>
                <w:kern w:val="0"/>
                <w:sz w:val="18"/>
                <w:szCs w:val="18"/>
              </w:rPr>
            </w:pPr>
            <w:r>
              <w:rPr>
                <w:rFonts w:eastAsia="楷体"/>
                <w:sz w:val="18"/>
                <w:szCs w:val="18"/>
              </w:rPr>
              <w:t>Molecular Plant</w:t>
            </w:r>
          </w:p>
        </w:tc>
        <w:tc>
          <w:tcPr>
            <w:tcW w:w="859" w:type="dxa"/>
            <w:tcBorders>
              <w:top w:val="single" w:color="auto" w:sz="4" w:space="0"/>
              <w:left w:val="single" w:color="auto" w:sz="4" w:space="0"/>
              <w:bottom w:val="single" w:color="auto" w:sz="4" w:space="0"/>
              <w:right w:val="single" w:color="auto" w:sz="4" w:space="0"/>
            </w:tcBorders>
            <w:shd w:val="clear" w:color="auto" w:fill="auto"/>
            <w:vAlign w:val="center"/>
          </w:tcPr>
          <w:p w14:paraId="67DF3CD6">
            <w:pPr>
              <w:widowControl/>
              <w:spacing w:line="220" w:lineRule="exact"/>
              <w:rPr>
                <w:rFonts w:eastAsia="楷体"/>
                <w:kern w:val="0"/>
                <w:sz w:val="18"/>
                <w:szCs w:val="18"/>
              </w:rPr>
            </w:pPr>
            <w:r>
              <w:rPr>
                <w:rFonts w:eastAsia="楷体"/>
                <w:sz w:val="18"/>
                <w:szCs w:val="18"/>
              </w:rPr>
              <w:t>202</w:t>
            </w:r>
            <w:r>
              <w:rPr>
                <w:rFonts w:hint="eastAsia" w:eastAsia="楷体"/>
                <w:sz w:val="18"/>
                <w:szCs w:val="18"/>
              </w:rPr>
              <w:t>1</w:t>
            </w:r>
            <w:r>
              <w:rPr>
                <w:rFonts w:eastAsia="楷体"/>
                <w:sz w:val="18"/>
                <w:szCs w:val="18"/>
              </w:rPr>
              <w:t>年</w:t>
            </w:r>
            <w:r>
              <w:rPr>
                <w:rFonts w:hint="eastAsia" w:eastAsia="楷体"/>
                <w:sz w:val="18"/>
                <w:szCs w:val="18"/>
              </w:rPr>
              <w:t>9</w:t>
            </w:r>
            <w:r>
              <w:rPr>
                <w:rFonts w:eastAsia="楷体"/>
                <w:sz w:val="18"/>
                <w:szCs w:val="18"/>
              </w:rPr>
              <w:t>月3日</w:t>
            </w:r>
          </w:p>
        </w:tc>
        <w:tc>
          <w:tcPr>
            <w:tcW w:w="1855" w:type="dxa"/>
            <w:tcBorders>
              <w:top w:val="single" w:color="auto" w:sz="4" w:space="0"/>
              <w:left w:val="single" w:color="auto" w:sz="4" w:space="0"/>
              <w:bottom w:val="single" w:color="auto" w:sz="4" w:space="0"/>
              <w:right w:val="single" w:color="auto" w:sz="4" w:space="0"/>
            </w:tcBorders>
            <w:shd w:val="clear" w:color="auto" w:fill="auto"/>
            <w:vAlign w:val="center"/>
          </w:tcPr>
          <w:p w14:paraId="248D4DDE">
            <w:pPr>
              <w:pStyle w:val="4"/>
              <w:widowControl/>
              <w:spacing w:line="220" w:lineRule="exact"/>
              <w:ind w:firstLine="0" w:firstLineChars="0"/>
              <w:rPr>
                <w:rFonts w:ascii="Times New Roman" w:eastAsia="楷体"/>
                <w:sz w:val="18"/>
                <w:szCs w:val="18"/>
              </w:rPr>
            </w:pPr>
            <w:r>
              <w:rPr>
                <w:rFonts w:ascii="Times New Roman" w:eastAsia="楷体"/>
                <w:sz w:val="18"/>
                <w:szCs w:val="18"/>
              </w:rPr>
              <w:t>Zenglin Zhang#, Cheng Liu#, Kui Li,</w:t>
            </w:r>
            <w:r>
              <w:rPr>
                <w:rFonts w:hint="eastAsia" w:ascii="Times New Roman" w:eastAsia="楷体"/>
                <w:sz w:val="18"/>
                <w:szCs w:val="18"/>
              </w:rPr>
              <w:t xml:space="preserve"> </w:t>
            </w:r>
            <w:r>
              <w:rPr>
                <w:rFonts w:ascii="Times New Roman" w:eastAsia="楷体"/>
                <w:sz w:val="18"/>
                <w:szCs w:val="18"/>
              </w:rPr>
              <w:t>Xiaoxu Li, Mengmeng Xu, Yongfeng Guo*</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75CED2CE">
            <w:pPr>
              <w:widowControl/>
              <w:spacing w:line="220" w:lineRule="exact"/>
              <w:rPr>
                <w:rFonts w:eastAsia="楷体"/>
                <w:kern w:val="0"/>
                <w:sz w:val="18"/>
                <w:szCs w:val="18"/>
              </w:rPr>
            </w:pPr>
            <w:r>
              <w:rPr>
                <w:rFonts w:eastAsia="楷体"/>
                <w:sz w:val="18"/>
                <w:szCs w:val="18"/>
              </w:rPr>
              <w:t>Yongfeng Guo</w:t>
            </w:r>
          </w:p>
        </w:tc>
        <w:tc>
          <w:tcPr>
            <w:tcW w:w="997" w:type="dxa"/>
            <w:tcBorders>
              <w:top w:val="single" w:color="auto" w:sz="4" w:space="0"/>
              <w:left w:val="single" w:color="auto" w:sz="4" w:space="0"/>
              <w:bottom w:val="single" w:color="auto" w:sz="4" w:space="0"/>
              <w:right w:val="single" w:color="auto" w:sz="4" w:space="0"/>
            </w:tcBorders>
            <w:shd w:val="clear" w:color="auto" w:fill="auto"/>
            <w:vAlign w:val="center"/>
          </w:tcPr>
          <w:p w14:paraId="01200C70">
            <w:pPr>
              <w:widowControl/>
              <w:spacing w:line="220" w:lineRule="exact"/>
              <w:rPr>
                <w:rFonts w:eastAsia="楷体"/>
                <w:kern w:val="0"/>
                <w:sz w:val="18"/>
                <w:szCs w:val="18"/>
              </w:rPr>
            </w:pPr>
            <w:r>
              <w:rPr>
                <w:rFonts w:eastAsia="楷体"/>
                <w:sz w:val="18"/>
                <w:szCs w:val="18"/>
              </w:rPr>
              <w:t>Zenglin Zhang,</w:t>
            </w:r>
            <w:r>
              <w:rPr>
                <w:rFonts w:hint="eastAsia" w:eastAsia="楷体"/>
                <w:sz w:val="18"/>
                <w:szCs w:val="18"/>
              </w:rPr>
              <w:t xml:space="preserve"> </w:t>
            </w:r>
            <w:r>
              <w:rPr>
                <w:rFonts w:eastAsia="楷体"/>
                <w:sz w:val="18"/>
                <w:szCs w:val="18"/>
              </w:rPr>
              <w:t>Cheng Liu</w:t>
            </w:r>
          </w:p>
        </w:tc>
        <w:tc>
          <w:tcPr>
            <w:tcW w:w="707" w:type="dxa"/>
            <w:tcBorders>
              <w:top w:val="single" w:color="auto" w:sz="4" w:space="0"/>
              <w:left w:val="single" w:color="auto" w:sz="4" w:space="0"/>
              <w:bottom w:val="single" w:color="auto" w:sz="4" w:space="0"/>
              <w:right w:val="single" w:color="auto" w:sz="8" w:space="0"/>
            </w:tcBorders>
            <w:shd w:val="clear" w:color="auto" w:fill="auto"/>
            <w:vAlign w:val="center"/>
          </w:tcPr>
          <w:p w14:paraId="69E804AF">
            <w:pPr>
              <w:widowControl/>
              <w:spacing w:line="220" w:lineRule="exact"/>
              <w:jc w:val="center"/>
              <w:rPr>
                <w:rFonts w:eastAsia="楷体"/>
                <w:kern w:val="0"/>
                <w:sz w:val="18"/>
                <w:szCs w:val="18"/>
              </w:rPr>
            </w:pPr>
            <w:r>
              <w:rPr>
                <w:rFonts w:hint="eastAsia" w:eastAsia="楷体"/>
                <w:kern w:val="0"/>
                <w:sz w:val="18"/>
                <w:szCs w:val="18"/>
              </w:rPr>
              <w:t>是</w:t>
            </w:r>
          </w:p>
        </w:tc>
      </w:tr>
      <w:tr w14:paraId="374FCB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531" w:type="dxa"/>
            <w:tcBorders>
              <w:top w:val="single" w:color="auto" w:sz="4" w:space="0"/>
              <w:left w:val="single" w:color="auto" w:sz="8" w:space="0"/>
              <w:bottom w:val="single" w:color="auto" w:sz="8" w:space="0"/>
              <w:right w:val="single" w:color="auto" w:sz="4" w:space="0"/>
            </w:tcBorders>
            <w:shd w:val="clear" w:color="auto" w:fill="auto"/>
            <w:vAlign w:val="center"/>
          </w:tcPr>
          <w:p w14:paraId="0E63891F">
            <w:pPr>
              <w:widowControl/>
              <w:spacing w:line="220" w:lineRule="exact"/>
              <w:jc w:val="center"/>
              <w:rPr>
                <w:rFonts w:eastAsia="楷体"/>
                <w:kern w:val="0"/>
                <w:sz w:val="18"/>
                <w:szCs w:val="18"/>
              </w:rPr>
            </w:pPr>
            <w:r>
              <w:rPr>
                <w:rFonts w:hint="eastAsia" w:eastAsia="楷体"/>
                <w:kern w:val="0"/>
                <w:sz w:val="18"/>
                <w:szCs w:val="18"/>
              </w:rPr>
              <w:t>5</w:t>
            </w:r>
          </w:p>
        </w:tc>
        <w:tc>
          <w:tcPr>
            <w:tcW w:w="1338" w:type="dxa"/>
            <w:tcBorders>
              <w:top w:val="single" w:color="auto" w:sz="4" w:space="0"/>
              <w:left w:val="single" w:color="auto" w:sz="4" w:space="0"/>
              <w:bottom w:val="single" w:color="auto" w:sz="8" w:space="0"/>
              <w:right w:val="single" w:color="auto" w:sz="4" w:space="0"/>
            </w:tcBorders>
            <w:shd w:val="clear" w:color="auto" w:fill="auto"/>
            <w:vAlign w:val="center"/>
          </w:tcPr>
          <w:p w14:paraId="4EE43310">
            <w:pPr>
              <w:widowControl/>
              <w:spacing w:line="220" w:lineRule="exact"/>
              <w:rPr>
                <w:rFonts w:eastAsia="楷体"/>
                <w:kern w:val="0"/>
                <w:sz w:val="18"/>
                <w:szCs w:val="18"/>
              </w:rPr>
            </w:pPr>
            <w:r>
              <w:rPr>
                <w:rFonts w:hint="eastAsia" w:eastAsia="楷体"/>
                <w:kern w:val="0"/>
                <w:sz w:val="18"/>
                <w:szCs w:val="18"/>
              </w:rPr>
              <w:t>Regulation of leaf longevity by DML3-mediated DNA demethylation.</w:t>
            </w:r>
          </w:p>
        </w:tc>
        <w:tc>
          <w:tcPr>
            <w:tcW w:w="1117" w:type="dxa"/>
            <w:tcBorders>
              <w:top w:val="single" w:color="auto" w:sz="4" w:space="0"/>
              <w:left w:val="single" w:color="auto" w:sz="4" w:space="0"/>
              <w:bottom w:val="single" w:color="auto" w:sz="8" w:space="0"/>
              <w:right w:val="single" w:color="auto" w:sz="4" w:space="0"/>
            </w:tcBorders>
            <w:shd w:val="clear" w:color="auto" w:fill="auto"/>
            <w:vAlign w:val="center"/>
          </w:tcPr>
          <w:p w14:paraId="45AE3E88">
            <w:pPr>
              <w:widowControl/>
              <w:spacing w:line="220" w:lineRule="exact"/>
              <w:rPr>
                <w:rFonts w:eastAsia="楷体"/>
                <w:kern w:val="0"/>
                <w:sz w:val="18"/>
                <w:szCs w:val="18"/>
              </w:rPr>
            </w:pPr>
            <w:r>
              <w:rPr>
                <w:rFonts w:eastAsia="楷体"/>
                <w:sz w:val="18"/>
                <w:szCs w:val="18"/>
              </w:rPr>
              <w:t>Molecular Plant</w:t>
            </w:r>
          </w:p>
        </w:tc>
        <w:tc>
          <w:tcPr>
            <w:tcW w:w="859" w:type="dxa"/>
            <w:tcBorders>
              <w:top w:val="single" w:color="auto" w:sz="4" w:space="0"/>
              <w:left w:val="single" w:color="auto" w:sz="4" w:space="0"/>
              <w:bottom w:val="single" w:color="auto" w:sz="8" w:space="0"/>
              <w:right w:val="single" w:color="auto" w:sz="4" w:space="0"/>
            </w:tcBorders>
            <w:shd w:val="clear" w:color="auto" w:fill="auto"/>
            <w:vAlign w:val="center"/>
          </w:tcPr>
          <w:p w14:paraId="247B2E68">
            <w:pPr>
              <w:widowControl/>
              <w:spacing w:line="220" w:lineRule="exact"/>
              <w:rPr>
                <w:rFonts w:eastAsia="楷体"/>
                <w:kern w:val="0"/>
                <w:sz w:val="18"/>
                <w:szCs w:val="18"/>
              </w:rPr>
            </w:pPr>
            <w:r>
              <w:rPr>
                <w:rFonts w:eastAsia="楷体"/>
                <w:sz w:val="18"/>
                <w:szCs w:val="18"/>
              </w:rPr>
              <w:t>202</w:t>
            </w:r>
            <w:r>
              <w:rPr>
                <w:rFonts w:hint="eastAsia" w:eastAsia="楷体"/>
                <w:sz w:val="18"/>
                <w:szCs w:val="18"/>
              </w:rPr>
              <w:t>0</w:t>
            </w:r>
            <w:r>
              <w:rPr>
                <w:rFonts w:eastAsia="楷体"/>
                <w:sz w:val="18"/>
                <w:szCs w:val="18"/>
              </w:rPr>
              <w:t>年</w:t>
            </w:r>
            <w:r>
              <w:rPr>
                <w:rFonts w:hint="eastAsia" w:eastAsia="楷体"/>
                <w:sz w:val="18"/>
                <w:szCs w:val="18"/>
              </w:rPr>
              <w:t>6</w:t>
            </w:r>
            <w:r>
              <w:rPr>
                <w:rFonts w:eastAsia="楷体"/>
                <w:sz w:val="18"/>
                <w:szCs w:val="18"/>
              </w:rPr>
              <w:t>月</w:t>
            </w:r>
            <w:r>
              <w:rPr>
                <w:rFonts w:hint="eastAsia" w:eastAsia="楷体"/>
                <w:sz w:val="18"/>
                <w:szCs w:val="18"/>
              </w:rPr>
              <w:t>15</w:t>
            </w:r>
            <w:r>
              <w:rPr>
                <w:rFonts w:eastAsia="楷体"/>
                <w:sz w:val="18"/>
                <w:szCs w:val="18"/>
              </w:rPr>
              <w:t>日</w:t>
            </w:r>
          </w:p>
        </w:tc>
        <w:tc>
          <w:tcPr>
            <w:tcW w:w="1855" w:type="dxa"/>
            <w:tcBorders>
              <w:top w:val="single" w:color="auto" w:sz="4" w:space="0"/>
              <w:left w:val="single" w:color="auto" w:sz="4" w:space="0"/>
              <w:bottom w:val="single" w:color="auto" w:sz="8" w:space="0"/>
              <w:right w:val="single" w:color="auto" w:sz="4" w:space="0"/>
            </w:tcBorders>
            <w:shd w:val="clear" w:color="auto" w:fill="auto"/>
            <w:vAlign w:val="center"/>
          </w:tcPr>
          <w:p w14:paraId="6E9FF873">
            <w:pPr>
              <w:pStyle w:val="4"/>
              <w:widowControl/>
              <w:spacing w:line="220" w:lineRule="exact"/>
              <w:ind w:firstLine="0" w:firstLineChars="0"/>
              <w:rPr>
                <w:rFonts w:ascii="Times New Roman" w:eastAsia="楷体"/>
                <w:sz w:val="18"/>
                <w:szCs w:val="18"/>
              </w:rPr>
            </w:pPr>
            <w:r>
              <w:rPr>
                <w:rFonts w:ascii="Times New Roman" w:eastAsia="楷体"/>
                <w:sz w:val="18"/>
                <w:szCs w:val="18"/>
              </w:rPr>
              <w:t>Lu Yuan, Dan Wang, Liwen Cao, Ningning Yu, Ke Liu, Yongfeng Guo, Susheng Gan*,</w:t>
            </w:r>
            <w:r>
              <w:rPr>
                <w:rFonts w:hint="eastAsia" w:ascii="Times New Roman" w:eastAsia="楷体"/>
                <w:sz w:val="18"/>
                <w:szCs w:val="18"/>
              </w:rPr>
              <w:t xml:space="preserve"> </w:t>
            </w:r>
            <w:r>
              <w:rPr>
                <w:rFonts w:ascii="Times New Roman" w:eastAsia="楷体"/>
                <w:sz w:val="18"/>
                <w:szCs w:val="18"/>
              </w:rPr>
              <w:t>Liping Chen*</w:t>
            </w:r>
          </w:p>
        </w:tc>
        <w:tc>
          <w:tcPr>
            <w:tcW w:w="988" w:type="dxa"/>
            <w:tcBorders>
              <w:top w:val="single" w:color="auto" w:sz="4" w:space="0"/>
              <w:left w:val="single" w:color="auto" w:sz="4" w:space="0"/>
              <w:bottom w:val="single" w:color="auto" w:sz="8" w:space="0"/>
              <w:right w:val="single" w:color="auto" w:sz="4" w:space="0"/>
            </w:tcBorders>
            <w:shd w:val="clear" w:color="auto" w:fill="auto"/>
            <w:vAlign w:val="center"/>
          </w:tcPr>
          <w:p w14:paraId="277C0D93">
            <w:pPr>
              <w:pStyle w:val="4"/>
              <w:widowControl/>
              <w:spacing w:line="220" w:lineRule="exact"/>
              <w:ind w:firstLine="0" w:firstLineChars="0"/>
              <w:rPr>
                <w:rFonts w:ascii="Times New Roman" w:eastAsia="楷体"/>
                <w:sz w:val="18"/>
                <w:szCs w:val="18"/>
              </w:rPr>
            </w:pPr>
            <w:r>
              <w:rPr>
                <w:rFonts w:ascii="Times New Roman" w:eastAsia="楷体"/>
                <w:sz w:val="18"/>
                <w:szCs w:val="18"/>
              </w:rPr>
              <w:t>Susheng Gan,</w:t>
            </w:r>
          </w:p>
          <w:p w14:paraId="431DA085">
            <w:pPr>
              <w:widowControl/>
              <w:spacing w:line="220" w:lineRule="exact"/>
              <w:rPr>
                <w:rFonts w:eastAsia="楷体"/>
                <w:kern w:val="0"/>
                <w:sz w:val="18"/>
                <w:szCs w:val="18"/>
              </w:rPr>
            </w:pPr>
            <w:r>
              <w:rPr>
                <w:rFonts w:eastAsia="楷体"/>
                <w:sz w:val="18"/>
                <w:szCs w:val="18"/>
              </w:rPr>
              <w:t>Liping Chen*</w:t>
            </w:r>
          </w:p>
        </w:tc>
        <w:tc>
          <w:tcPr>
            <w:tcW w:w="997" w:type="dxa"/>
            <w:tcBorders>
              <w:top w:val="single" w:color="auto" w:sz="4" w:space="0"/>
              <w:left w:val="single" w:color="auto" w:sz="4" w:space="0"/>
              <w:bottom w:val="single" w:color="auto" w:sz="8" w:space="0"/>
              <w:right w:val="single" w:color="auto" w:sz="4" w:space="0"/>
            </w:tcBorders>
            <w:shd w:val="clear" w:color="auto" w:fill="auto"/>
            <w:vAlign w:val="center"/>
          </w:tcPr>
          <w:p w14:paraId="03FCA586">
            <w:pPr>
              <w:widowControl/>
              <w:spacing w:line="220" w:lineRule="exact"/>
              <w:rPr>
                <w:rFonts w:eastAsia="楷体"/>
                <w:kern w:val="0"/>
                <w:sz w:val="18"/>
                <w:szCs w:val="18"/>
              </w:rPr>
            </w:pPr>
            <w:r>
              <w:rPr>
                <w:rFonts w:eastAsia="楷体"/>
                <w:sz w:val="18"/>
                <w:szCs w:val="18"/>
              </w:rPr>
              <w:t>Lu Yuan</w:t>
            </w:r>
          </w:p>
        </w:tc>
        <w:tc>
          <w:tcPr>
            <w:tcW w:w="707" w:type="dxa"/>
            <w:tcBorders>
              <w:top w:val="single" w:color="auto" w:sz="4" w:space="0"/>
              <w:left w:val="single" w:color="auto" w:sz="4" w:space="0"/>
              <w:bottom w:val="single" w:color="auto" w:sz="8" w:space="0"/>
              <w:right w:val="single" w:color="auto" w:sz="8" w:space="0"/>
            </w:tcBorders>
            <w:shd w:val="clear" w:color="auto" w:fill="auto"/>
            <w:vAlign w:val="center"/>
          </w:tcPr>
          <w:p w14:paraId="5B31AEE8">
            <w:pPr>
              <w:widowControl/>
              <w:spacing w:line="220" w:lineRule="exact"/>
              <w:jc w:val="center"/>
              <w:rPr>
                <w:rFonts w:eastAsia="楷体"/>
                <w:kern w:val="0"/>
                <w:sz w:val="18"/>
                <w:szCs w:val="18"/>
              </w:rPr>
            </w:pPr>
            <w:r>
              <w:rPr>
                <w:rFonts w:hint="eastAsia" w:eastAsia="楷体"/>
                <w:kern w:val="0"/>
                <w:sz w:val="18"/>
                <w:szCs w:val="18"/>
              </w:rPr>
              <w:t>否</w:t>
            </w:r>
          </w:p>
        </w:tc>
      </w:tr>
    </w:tbl>
    <w:p w14:paraId="189697F0">
      <w:pPr>
        <w:rPr>
          <w:rFonts w:eastAsia="楷体"/>
          <w:b/>
          <w:bCs/>
          <w:sz w:val="28"/>
        </w:rPr>
      </w:pPr>
    </w:p>
    <w:p w14:paraId="5B46BD56">
      <w:pPr>
        <w:rPr>
          <w:rFonts w:eastAsia="楷体"/>
          <w:b/>
          <w:sz w:val="28"/>
        </w:rPr>
      </w:pPr>
      <w:r>
        <w:rPr>
          <w:rFonts w:hint="eastAsia" w:eastAsia="楷体"/>
          <w:b/>
          <w:bCs/>
          <w:sz w:val="28"/>
        </w:rPr>
        <w:t>五、主要完成人</w:t>
      </w:r>
    </w:p>
    <w:p w14:paraId="318485B8">
      <w:pPr>
        <w:rPr>
          <w:rFonts w:eastAsia="楷体"/>
          <w:sz w:val="28"/>
        </w:rPr>
      </w:pPr>
      <w:r>
        <w:rPr>
          <w:rFonts w:hint="eastAsia" w:eastAsia="楷体"/>
          <w:sz w:val="28"/>
        </w:rPr>
        <w:t>郭永峰（中国农业科学院烟草研究所）、陈利萍（浙江大学）、李伟（中国农业科学院烟草研究所）、张增林（中国农业科学院烟草研究所）、张震彪（中国农业科学院烟草研究所）</w:t>
      </w:r>
    </w:p>
    <w:p w14:paraId="22C73F48">
      <w:pPr>
        <w:pStyle w:val="14"/>
      </w:pPr>
    </w:p>
    <w:sectPr>
      <w:footerReference r:id="rId3" w:type="default"/>
      <w:footerReference r:id="rId4" w:type="even"/>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3099EF-DC38-49D9-BA40-D3135F24A8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E922D48-D5FB-4682-94B0-E0EEFDAEE3CA}"/>
  </w:font>
  <w:font w:name="仿宋_GB2312">
    <w:panose1 w:val="02010609030101010101"/>
    <w:charset w:val="86"/>
    <w:family w:val="auto"/>
    <w:pitch w:val="default"/>
    <w:sig w:usb0="00000001" w:usb1="080E0000" w:usb2="00000000" w:usb3="00000000" w:csb0="00040000" w:csb1="00000000"/>
    <w:embedRegular r:id="rId3" w:fontKey="{6CCD8220-2DB0-4710-8E5E-D14DA9F7A8F3}"/>
  </w:font>
  <w:font w:name="方正小标宋简体">
    <w:panose1 w:val="02000000000000000000"/>
    <w:charset w:val="86"/>
    <w:family w:val="auto"/>
    <w:pitch w:val="default"/>
    <w:sig w:usb0="A00002BF" w:usb1="184F6CFA" w:usb2="00000012" w:usb3="00000000" w:csb0="00040001" w:csb1="00000000"/>
    <w:embedRegular r:id="rId4" w:fontKey="{B3F8D3CF-6C5B-4E03-9EEE-CEC60F21E7BF}"/>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5" w:fontKey="{40F88BC7-79ED-443F-839F-D8DFF8142008}"/>
  </w:font>
  <w:font w:name="楷体">
    <w:panose1 w:val="02010609060101010101"/>
    <w:charset w:val="86"/>
    <w:family w:val="modern"/>
    <w:pitch w:val="default"/>
    <w:sig w:usb0="800002BF" w:usb1="38CF7CFA" w:usb2="00000016" w:usb3="00000000" w:csb0="00040001" w:csb1="00000000"/>
    <w:embedRegular r:id="rId6" w:fontKey="{6384DB7B-EDE6-472A-BBBE-853F17E767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97C6F">
    <w:pPr>
      <w:pStyle w:val="6"/>
      <w:framePr w:wrap="around" w:vAnchor="text" w:hAnchor="margin" w:xAlign="center" w:y="1"/>
      <w:rPr>
        <w:rStyle w:val="12"/>
      </w:rPr>
    </w:pPr>
  </w:p>
  <w:p w14:paraId="405797D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0FDAA">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14:paraId="5CD032B4">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78"/>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ZhYWEzOTJhOWQzMTk2YTZlYWY3MDliMWNiOTA4OTkifQ=="/>
  </w:docVars>
  <w:rsids>
    <w:rsidRoot w:val="00822F41"/>
    <w:rsid w:val="00003577"/>
    <w:rsid w:val="00006B56"/>
    <w:rsid w:val="00010406"/>
    <w:rsid w:val="00024C74"/>
    <w:rsid w:val="000318DA"/>
    <w:rsid w:val="00036E61"/>
    <w:rsid w:val="000669C8"/>
    <w:rsid w:val="00072681"/>
    <w:rsid w:val="00080D53"/>
    <w:rsid w:val="000A290D"/>
    <w:rsid w:val="000B4AA9"/>
    <w:rsid w:val="000D2556"/>
    <w:rsid w:val="000D2943"/>
    <w:rsid w:val="000F28F2"/>
    <w:rsid w:val="0011420E"/>
    <w:rsid w:val="001225B2"/>
    <w:rsid w:val="00140BC0"/>
    <w:rsid w:val="001455AF"/>
    <w:rsid w:val="0014656F"/>
    <w:rsid w:val="00174C82"/>
    <w:rsid w:val="00190032"/>
    <w:rsid w:val="001A16C9"/>
    <w:rsid w:val="001A1EFF"/>
    <w:rsid w:val="001A6B61"/>
    <w:rsid w:val="001C2831"/>
    <w:rsid w:val="001C3EAF"/>
    <w:rsid w:val="001D09D8"/>
    <w:rsid w:val="001D704B"/>
    <w:rsid w:val="00203483"/>
    <w:rsid w:val="002257D8"/>
    <w:rsid w:val="00237524"/>
    <w:rsid w:val="00245728"/>
    <w:rsid w:val="002510B3"/>
    <w:rsid w:val="00270BAF"/>
    <w:rsid w:val="00291928"/>
    <w:rsid w:val="002C1A30"/>
    <w:rsid w:val="002C71EA"/>
    <w:rsid w:val="002E2619"/>
    <w:rsid w:val="002E47D2"/>
    <w:rsid w:val="002E523B"/>
    <w:rsid w:val="002E61BF"/>
    <w:rsid w:val="002F45CC"/>
    <w:rsid w:val="00311A06"/>
    <w:rsid w:val="00330B37"/>
    <w:rsid w:val="003714D6"/>
    <w:rsid w:val="00381862"/>
    <w:rsid w:val="003C5A69"/>
    <w:rsid w:val="004137FC"/>
    <w:rsid w:val="0042035E"/>
    <w:rsid w:val="00462718"/>
    <w:rsid w:val="00475D61"/>
    <w:rsid w:val="00487691"/>
    <w:rsid w:val="004916E6"/>
    <w:rsid w:val="004C3D76"/>
    <w:rsid w:val="004C6F5D"/>
    <w:rsid w:val="004C7BBD"/>
    <w:rsid w:val="004D4F4E"/>
    <w:rsid w:val="004F1A1D"/>
    <w:rsid w:val="00504CAB"/>
    <w:rsid w:val="0052171C"/>
    <w:rsid w:val="00525496"/>
    <w:rsid w:val="00527A96"/>
    <w:rsid w:val="005357F2"/>
    <w:rsid w:val="00563E72"/>
    <w:rsid w:val="00572A40"/>
    <w:rsid w:val="0058425D"/>
    <w:rsid w:val="005A301B"/>
    <w:rsid w:val="005A4C5A"/>
    <w:rsid w:val="005A63D7"/>
    <w:rsid w:val="005D2A43"/>
    <w:rsid w:val="005D7BB1"/>
    <w:rsid w:val="005E7123"/>
    <w:rsid w:val="005F4E42"/>
    <w:rsid w:val="005F7367"/>
    <w:rsid w:val="00601480"/>
    <w:rsid w:val="00612FE8"/>
    <w:rsid w:val="00632D55"/>
    <w:rsid w:val="006451CA"/>
    <w:rsid w:val="006462CB"/>
    <w:rsid w:val="00651CE6"/>
    <w:rsid w:val="00671E7E"/>
    <w:rsid w:val="006751F7"/>
    <w:rsid w:val="006822AE"/>
    <w:rsid w:val="0068331B"/>
    <w:rsid w:val="00687B01"/>
    <w:rsid w:val="006901F6"/>
    <w:rsid w:val="006A1A02"/>
    <w:rsid w:val="006C62FC"/>
    <w:rsid w:val="00702E11"/>
    <w:rsid w:val="007122C2"/>
    <w:rsid w:val="00720D87"/>
    <w:rsid w:val="00720DD9"/>
    <w:rsid w:val="00732AF0"/>
    <w:rsid w:val="00760CED"/>
    <w:rsid w:val="00764925"/>
    <w:rsid w:val="00776ACE"/>
    <w:rsid w:val="0079259B"/>
    <w:rsid w:val="007927CB"/>
    <w:rsid w:val="00795142"/>
    <w:rsid w:val="007A490E"/>
    <w:rsid w:val="007B1DDF"/>
    <w:rsid w:val="007B457D"/>
    <w:rsid w:val="007C2DD9"/>
    <w:rsid w:val="007C4C1C"/>
    <w:rsid w:val="007D44E9"/>
    <w:rsid w:val="007E6680"/>
    <w:rsid w:val="007F36D2"/>
    <w:rsid w:val="00822F41"/>
    <w:rsid w:val="008236D5"/>
    <w:rsid w:val="00825117"/>
    <w:rsid w:val="00834466"/>
    <w:rsid w:val="0084234F"/>
    <w:rsid w:val="0084366F"/>
    <w:rsid w:val="008451A8"/>
    <w:rsid w:val="00847951"/>
    <w:rsid w:val="00854784"/>
    <w:rsid w:val="00864CD5"/>
    <w:rsid w:val="008A06C4"/>
    <w:rsid w:val="008A42AE"/>
    <w:rsid w:val="008B1D3A"/>
    <w:rsid w:val="008B1DB8"/>
    <w:rsid w:val="008C0294"/>
    <w:rsid w:val="008D0687"/>
    <w:rsid w:val="008D0E8D"/>
    <w:rsid w:val="008F20AC"/>
    <w:rsid w:val="008F6AA4"/>
    <w:rsid w:val="0090182D"/>
    <w:rsid w:val="009063FC"/>
    <w:rsid w:val="0090774B"/>
    <w:rsid w:val="00915460"/>
    <w:rsid w:val="00926ECA"/>
    <w:rsid w:val="00964538"/>
    <w:rsid w:val="009733A5"/>
    <w:rsid w:val="0098257F"/>
    <w:rsid w:val="009C6B31"/>
    <w:rsid w:val="00A05545"/>
    <w:rsid w:val="00A11023"/>
    <w:rsid w:val="00A136A9"/>
    <w:rsid w:val="00A2588F"/>
    <w:rsid w:val="00A2607C"/>
    <w:rsid w:val="00A263FD"/>
    <w:rsid w:val="00A27BDC"/>
    <w:rsid w:val="00A35798"/>
    <w:rsid w:val="00A767D7"/>
    <w:rsid w:val="00A827CE"/>
    <w:rsid w:val="00A91E01"/>
    <w:rsid w:val="00AA5860"/>
    <w:rsid w:val="00AC18CF"/>
    <w:rsid w:val="00AD2117"/>
    <w:rsid w:val="00AF2F54"/>
    <w:rsid w:val="00AF3E40"/>
    <w:rsid w:val="00B121F3"/>
    <w:rsid w:val="00B70893"/>
    <w:rsid w:val="00B70CE6"/>
    <w:rsid w:val="00B75EC1"/>
    <w:rsid w:val="00B86FD9"/>
    <w:rsid w:val="00BA2FD2"/>
    <w:rsid w:val="00BA58E7"/>
    <w:rsid w:val="00BE5B9B"/>
    <w:rsid w:val="00BF04EA"/>
    <w:rsid w:val="00C014DF"/>
    <w:rsid w:val="00C016B5"/>
    <w:rsid w:val="00C016DD"/>
    <w:rsid w:val="00C02AE9"/>
    <w:rsid w:val="00C23AD5"/>
    <w:rsid w:val="00C33810"/>
    <w:rsid w:val="00C725AC"/>
    <w:rsid w:val="00CF370E"/>
    <w:rsid w:val="00D0308A"/>
    <w:rsid w:val="00D131C3"/>
    <w:rsid w:val="00D2361E"/>
    <w:rsid w:val="00D236D5"/>
    <w:rsid w:val="00D4521F"/>
    <w:rsid w:val="00D5219A"/>
    <w:rsid w:val="00D525DA"/>
    <w:rsid w:val="00D54C80"/>
    <w:rsid w:val="00D60B41"/>
    <w:rsid w:val="00D636EF"/>
    <w:rsid w:val="00DC1621"/>
    <w:rsid w:val="00DC7AA7"/>
    <w:rsid w:val="00DE1EAE"/>
    <w:rsid w:val="00E02BD8"/>
    <w:rsid w:val="00E06FD6"/>
    <w:rsid w:val="00E07250"/>
    <w:rsid w:val="00E14DB9"/>
    <w:rsid w:val="00E24C86"/>
    <w:rsid w:val="00E30127"/>
    <w:rsid w:val="00E43F82"/>
    <w:rsid w:val="00E5309C"/>
    <w:rsid w:val="00E55977"/>
    <w:rsid w:val="00E71520"/>
    <w:rsid w:val="00E851DF"/>
    <w:rsid w:val="00EB2F9A"/>
    <w:rsid w:val="00EB778D"/>
    <w:rsid w:val="00EC0F7C"/>
    <w:rsid w:val="00EC5F77"/>
    <w:rsid w:val="00EE0243"/>
    <w:rsid w:val="00EE0345"/>
    <w:rsid w:val="00F01250"/>
    <w:rsid w:val="00F17C25"/>
    <w:rsid w:val="00F333F6"/>
    <w:rsid w:val="00F3785C"/>
    <w:rsid w:val="00F40914"/>
    <w:rsid w:val="00F441F5"/>
    <w:rsid w:val="00F7047A"/>
    <w:rsid w:val="00F81A01"/>
    <w:rsid w:val="00F82045"/>
    <w:rsid w:val="00F852C1"/>
    <w:rsid w:val="00FB0852"/>
    <w:rsid w:val="00FB17F1"/>
    <w:rsid w:val="00FD02A8"/>
    <w:rsid w:val="00FD4138"/>
    <w:rsid w:val="00FE3092"/>
    <w:rsid w:val="00FE435F"/>
    <w:rsid w:val="01B701A0"/>
    <w:rsid w:val="01BB640A"/>
    <w:rsid w:val="01FD42EF"/>
    <w:rsid w:val="02F315AC"/>
    <w:rsid w:val="0394658D"/>
    <w:rsid w:val="03A23C27"/>
    <w:rsid w:val="042B21B5"/>
    <w:rsid w:val="0517712C"/>
    <w:rsid w:val="05E80E63"/>
    <w:rsid w:val="07034156"/>
    <w:rsid w:val="091F0FEF"/>
    <w:rsid w:val="098B3F8E"/>
    <w:rsid w:val="09A15F99"/>
    <w:rsid w:val="09BC22DB"/>
    <w:rsid w:val="09BD1F32"/>
    <w:rsid w:val="0B402B47"/>
    <w:rsid w:val="0C682624"/>
    <w:rsid w:val="0C8F023A"/>
    <w:rsid w:val="0C92338D"/>
    <w:rsid w:val="0DE565E7"/>
    <w:rsid w:val="0EAC0C2F"/>
    <w:rsid w:val="0EB9774E"/>
    <w:rsid w:val="0F975F68"/>
    <w:rsid w:val="0F9A4F2B"/>
    <w:rsid w:val="0FA37CB2"/>
    <w:rsid w:val="10A83678"/>
    <w:rsid w:val="10F13271"/>
    <w:rsid w:val="152F25BA"/>
    <w:rsid w:val="16AC39FC"/>
    <w:rsid w:val="172419CE"/>
    <w:rsid w:val="17F92F26"/>
    <w:rsid w:val="181836D6"/>
    <w:rsid w:val="18397E91"/>
    <w:rsid w:val="191B2A72"/>
    <w:rsid w:val="19953518"/>
    <w:rsid w:val="19EB1DCD"/>
    <w:rsid w:val="1A9A0F56"/>
    <w:rsid w:val="1AB5657D"/>
    <w:rsid w:val="1C3E4A09"/>
    <w:rsid w:val="1C767B21"/>
    <w:rsid w:val="1DC93B62"/>
    <w:rsid w:val="1E0A6237"/>
    <w:rsid w:val="20B9542D"/>
    <w:rsid w:val="20B971DB"/>
    <w:rsid w:val="20CE712B"/>
    <w:rsid w:val="226333FC"/>
    <w:rsid w:val="22961841"/>
    <w:rsid w:val="229C164D"/>
    <w:rsid w:val="22AF32C1"/>
    <w:rsid w:val="22C56B99"/>
    <w:rsid w:val="235A693F"/>
    <w:rsid w:val="243948BB"/>
    <w:rsid w:val="25D9546E"/>
    <w:rsid w:val="269229A8"/>
    <w:rsid w:val="27AA5A70"/>
    <w:rsid w:val="280671AA"/>
    <w:rsid w:val="28BC7E86"/>
    <w:rsid w:val="29F222C1"/>
    <w:rsid w:val="29F53684"/>
    <w:rsid w:val="2B237433"/>
    <w:rsid w:val="2E032AE7"/>
    <w:rsid w:val="2EF75CAB"/>
    <w:rsid w:val="30507637"/>
    <w:rsid w:val="30D836AE"/>
    <w:rsid w:val="30E21939"/>
    <w:rsid w:val="31565117"/>
    <w:rsid w:val="317F3195"/>
    <w:rsid w:val="328A410F"/>
    <w:rsid w:val="333C43C8"/>
    <w:rsid w:val="33EF3043"/>
    <w:rsid w:val="34B91F8A"/>
    <w:rsid w:val="35494B7A"/>
    <w:rsid w:val="355B47A5"/>
    <w:rsid w:val="35A90EA2"/>
    <w:rsid w:val="36E92171"/>
    <w:rsid w:val="37294C63"/>
    <w:rsid w:val="376225BD"/>
    <w:rsid w:val="37C958A1"/>
    <w:rsid w:val="37D05063"/>
    <w:rsid w:val="38F117B0"/>
    <w:rsid w:val="392A3BCE"/>
    <w:rsid w:val="3B8E1539"/>
    <w:rsid w:val="3BA03635"/>
    <w:rsid w:val="3BF70E8C"/>
    <w:rsid w:val="3C4816E7"/>
    <w:rsid w:val="3CFA0213"/>
    <w:rsid w:val="3F261A88"/>
    <w:rsid w:val="3FE51083"/>
    <w:rsid w:val="40B03CFF"/>
    <w:rsid w:val="429F17F6"/>
    <w:rsid w:val="42B41E9A"/>
    <w:rsid w:val="42E7346E"/>
    <w:rsid w:val="45B82804"/>
    <w:rsid w:val="46D52711"/>
    <w:rsid w:val="46E22750"/>
    <w:rsid w:val="46EC44D4"/>
    <w:rsid w:val="475443C7"/>
    <w:rsid w:val="478F67EB"/>
    <w:rsid w:val="48861F15"/>
    <w:rsid w:val="4B1F1850"/>
    <w:rsid w:val="4CF157B9"/>
    <w:rsid w:val="4CF82C6E"/>
    <w:rsid w:val="4D4D3AFB"/>
    <w:rsid w:val="4D854753"/>
    <w:rsid w:val="4D8E7176"/>
    <w:rsid w:val="4DE54BC7"/>
    <w:rsid w:val="4EB53D97"/>
    <w:rsid w:val="4F672375"/>
    <w:rsid w:val="4F766114"/>
    <w:rsid w:val="4FBA6948"/>
    <w:rsid w:val="51E57B02"/>
    <w:rsid w:val="526622C1"/>
    <w:rsid w:val="52702537"/>
    <w:rsid w:val="567315FF"/>
    <w:rsid w:val="572B12F6"/>
    <w:rsid w:val="57AF6667"/>
    <w:rsid w:val="59A76C7E"/>
    <w:rsid w:val="5A427C66"/>
    <w:rsid w:val="5A9C7376"/>
    <w:rsid w:val="5ABB061A"/>
    <w:rsid w:val="5FD67D35"/>
    <w:rsid w:val="600A5100"/>
    <w:rsid w:val="612C1921"/>
    <w:rsid w:val="613E5427"/>
    <w:rsid w:val="615C33BC"/>
    <w:rsid w:val="6183303E"/>
    <w:rsid w:val="621214DC"/>
    <w:rsid w:val="62652744"/>
    <w:rsid w:val="6290368F"/>
    <w:rsid w:val="6534765C"/>
    <w:rsid w:val="69D16911"/>
    <w:rsid w:val="6ADE7537"/>
    <w:rsid w:val="6B5B09C1"/>
    <w:rsid w:val="6C3175D5"/>
    <w:rsid w:val="6C53360D"/>
    <w:rsid w:val="6CCA7D73"/>
    <w:rsid w:val="6D93510E"/>
    <w:rsid w:val="6E22598D"/>
    <w:rsid w:val="6F0D345B"/>
    <w:rsid w:val="6F855772"/>
    <w:rsid w:val="70FB570F"/>
    <w:rsid w:val="718A1021"/>
    <w:rsid w:val="71B22A92"/>
    <w:rsid w:val="71CB33D1"/>
    <w:rsid w:val="727D7636"/>
    <w:rsid w:val="728A4867"/>
    <w:rsid w:val="73010A86"/>
    <w:rsid w:val="73982EF1"/>
    <w:rsid w:val="73EC3386"/>
    <w:rsid w:val="76E40350"/>
    <w:rsid w:val="78304F1C"/>
    <w:rsid w:val="7A1B0A08"/>
    <w:rsid w:val="7A6B4B71"/>
    <w:rsid w:val="7AF206A2"/>
    <w:rsid w:val="7B6B0973"/>
    <w:rsid w:val="7CA610E1"/>
    <w:rsid w:val="7E0B01EB"/>
    <w:rsid w:val="7E2A6CA0"/>
    <w:rsid w:val="7E7A2C7B"/>
    <w:rsid w:val="7F4A08A0"/>
    <w:rsid w:val="7FEC1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unhideWhenUsed/>
    <w:qFormat/>
    <w:uiPriority w:val="99"/>
    <w:pPr>
      <w:jc w:val="left"/>
    </w:pPr>
  </w:style>
  <w:style w:type="paragraph" w:styleId="3">
    <w:name w:val="Body Text"/>
    <w:basedOn w:val="1"/>
    <w:next w:val="1"/>
    <w:semiHidden/>
    <w:qFormat/>
    <w:uiPriority w:val="0"/>
    <w:pPr>
      <w:spacing w:after="120"/>
    </w:pPr>
  </w:style>
  <w:style w:type="paragraph" w:styleId="4">
    <w:name w:val="Plain Text"/>
    <w:basedOn w:val="1"/>
    <w:link w:val="16"/>
    <w:qFormat/>
    <w:uiPriority w:val="0"/>
    <w:pPr>
      <w:spacing w:line="360" w:lineRule="auto"/>
      <w:ind w:firstLine="480" w:firstLineChars="200"/>
    </w:pPr>
    <w:rPr>
      <w:rFonts w:ascii="仿宋_GB2312"/>
      <w:sz w:val="24"/>
      <w:szCs w:val="20"/>
    </w:rPr>
  </w:style>
  <w:style w:type="paragraph" w:styleId="5">
    <w:name w:val="Balloon Text"/>
    <w:basedOn w:val="1"/>
    <w:link w:val="17"/>
    <w:unhideWhenUsed/>
    <w:qFormat/>
    <w:uiPriority w:val="99"/>
    <w:rPr>
      <w:sz w:val="18"/>
      <w:szCs w:val="18"/>
    </w:rPr>
  </w:style>
  <w:style w:type="paragraph" w:styleId="6">
    <w:name w:val="footer"/>
    <w:basedOn w:val="1"/>
    <w:link w:val="18"/>
    <w:unhideWhenUsed/>
    <w:qFormat/>
    <w:uiPriority w:val="0"/>
    <w:pPr>
      <w:tabs>
        <w:tab w:val="center" w:pos="4153"/>
        <w:tab w:val="right" w:pos="8306"/>
      </w:tabs>
      <w:snapToGrid w:val="0"/>
      <w:jc w:val="left"/>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20"/>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character" w:styleId="13">
    <w:name w:val="annotation reference"/>
    <w:unhideWhenUsed/>
    <w:qFormat/>
    <w:uiPriority w:val="99"/>
    <w:rPr>
      <w:sz w:val="21"/>
      <w:szCs w:val="21"/>
    </w:rPr>
  </w:style>
  <w:style w:type="paragraph" w:customStyle="1" w:styleId="14">
    <w:name w:val="Default"/>
    <w:basedOn w:val="1"/>
    <w:qFormat/>
    <w:uiPriority w:val="0"/>
    <w:pPr>
      <w:autoSpaceDE w:val="0"/>
      <w:autoSpaceDN w:val="0"/>
      <w:adjustRightInd w:val="0"/>
      <w:jc w:val="left"/>
    </w:pPr>
    <w:rPr>
      <w:rFonts w:ascii="方正仿宋_GBK" w:hAnsi="方正仿宋_GBK"/>
    </w:rPr>
  </w:style>
  <w:style w:type="character" w:customStyle="1" w:styleId="15">
    <w:name w:val="批注文字 字符"/>
    <w:link w:val="2"/>
    <w:semiHidden/>
    <w:qFormat/>
    <w:uiPriority w:val="99"/>
    <w:rPr>
      <w:rFonts w:ascii="Times New Roman" w:hAnsi="Times New Roman" w:eastAsia="宋体" w:cs="Times New Roman"/>
      <w:szCs w:val="24"/>
    </w:rPr>
  </w:style>
  <w:style w:type="character" w:customStyle="1" w:styleId="16">
    <w:name w:val="纯文本 字符1"/>
    <w:link w:val="4"/>
    <w:qFormat/>
    <w:locked/>
    <w:uiPriority w:val="0"/>
    <w:rPr>
      <w:rFonts w:ascii="仿宋_GB2312" w:hAnsi="Times New Roman" w:eastAsia="宋体" w:cs="Times New Roman"/>
      <w:sz w:val="24"/>
      <w:szCs w:val="20"/>
    </w:rPr>
  </w:style>
  <w:style w:type="character" w:customStyle="1" w:styleId="17">
    <w:name w:val="批注框文本 字符"/>
    <w:link w:val="5"/>
    <w:semiHidden/>
    <w:qFormat/>
    <w:uiPriority w:val="99"/>
    <w:rPr>
      <w:rFonts w:ascii="Times New Roman" w:hAnsi="Times New Roman" w:eastAsia="宋体" w:cs="Times New Roman"/>
      <w:sz w:val="18"/>
      <w:szCs w:val="18"/>
    </w:rPr>
  </w:style>
  <w:style w:type="character" w:customStyle="1" w:styleId="18">
    <w:name w:val="页脚 字符"/>
    <w:link w:val="6"/>
    <w:qFormat/>
    <w:uiPriority w:val="99"/>
    <w:rPr>
      <w:sz w:val="18"/>
      <w:szCs w:val="18"/>
    </w:rPr>
  </w:style>
  <w:style w:type="character" w:customStyle="1" w:styleId="19">
    <w:name w:val="页眉 字符"/>
    <w:link w:val="7"/>
    <w:qFormat/>
    <w:uiPriority w:val="99"/>
    <w:rPr>
      <w:sz w:val="18"/>
      <w:szCs w:val="18"/>
    </w:rPr>
  </w:style>
  <w:style w:type="character" w:customStyle="1" w:styleId="20">
    <w:name w:val="批注主题 字符"/>
    <w:link w:val="8"/>
    <w:semiHidden/>
    <w:qFormat/>
    <w:uiPriority w:val="99"/>
    <w:rPr>
      <w:rFonts w:ascii="Times New Roman" w:hAnsi="Times New Roman" w:eastAsia="宋体" w:cs="Times New Roman"/>
      <w:b/>
      <w:bCs/>
      <w:szCs w:val="24"/>
    </w:rPr>
  </w:style>
  <w:style w:type="character" w:customStyle="1" w:styleId="21">
    <w:name w:val="纯文本 字符"/>
    <w:semiHidden/>
    <w:qFormat/>
    <w:uiPriority w:val="99"/>
    <w:rPr>
      <w:rFonts w:ascii="等线" w:hAnsi="Courier New" w:cs="Courier New"/>
      <w:szCs w:val="24"/>
    </w:rPr>
  </w:style>
  <w:style w:type="character" w:customStyle="1" w:styleId="22">
    <w:name w:val="title1"/>
    <w:qFormat/>
    <w:uiPriority w:val="0"/>
    <w:rPr>
      <w:b/>
      <w:bCs/>
      <w:color w:val="9999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A145E-1C31-4855-9084-2DA1639BFC3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1457</Words>
  <Characters>2613</Characters>
  <Lines>20</Lines>
  <Paragraphs>5</Paragraphs>
  <TotalTime>1</TotalTime>
  <ScaleCrop>false</ScaleCrop>
  <LinksUpToDate>false</LinksUpToDate>
  <CharactersWithSpaces>2794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2026-09-29T06:45:00Z</dcterms:created>
  <dc:creator>LY-01</dc:creator>
  <cp:lastModifiedBy>刘庆</cp:lastModifiedBy>
  <dcterms:modified xsi:type="dcterms:W3CDTF">2026-09-29T07:28:59Z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eyJoZGlkIjoiMzA1N2FkYjAwMjEzMzYyZGM5Mjc5MzliZjJiMGU4N2QiLCJ1c2VySWQiOiIxNzAxMDAyNjUzIn0=</vt:lpwstr>
  </property>
  <property fmtid="{D5CDD505-2E9C-101B-9397-08002B2CF9AE}" pid="3" name="KSOProductBuildVer">
    <vt:lpwstr>2052-12.1.0.28043</vt:lpwstr>
  </property>
  <property fmtid="{D5CDD505-2E9C-101B-9397-08002B2CF9AE}" pid="4" name="ICV">
    <vt:lpwstr>B5A5E116DE0E46C385A43ED092E273F4_13</vt:lpwstr>
  </property>
</Properties>
</file>