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浙江省科学技术奖公示信息表</w:t>
      </w:r>
    </w:p>
    <w:p>
      <w:pPr>
        <w:spacing w:line="440" w:lineRule="exact"/>
        <w:jc w:val="center"/>
        <w:rPr>
          <w:rFonts w:hint="eastAsia" w:ascii="仿宋_GB2312" w:hAnsi="仿宋" w:eastAsia="仿宋_GB2312" w:cs="仿宋"/>
          <w:color w:val="000000" w:themeColor="text1"/>
          <w:sz w:val="32"/>
          <w:szCs w:val="32"/>
          <w14:textFill>
            <w14:solidFill>
              <w14:schemeClr w14:val="tx1"/>
            </w14:solidFill>
          </w14:textFill>
        </w:rPr>
      </w:pPr>
    </w:p>
    <w:p>
      <w:pPr>
        <w:spacing w:line="440" w:lineRule="exact"/>
        <w:rPr>
          <w:rFonts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4"/>
                <w:rFonts w:ascii="仿宋_GB2312" w:hAnsi="仿宋" w:eastAsia="仿宋_GB2312" w:cs="仿宋"/>
                <w:b w:val="0"/>
                <w:color w:val="000000"/>
                <w:sz w:val="28"/>
              </w:rPr>
            </w:pPr>
            <w:r>
              <w:rPr>
                <w:rStyle w:val="4"/>
                <w:rFonts w:hint="eastAsia" w:ascii="仿宋_GB2312" w:hAnsi="仿宋" w:eastAsia="仿宋_GB2312" w:cs="仿宋"/>
                <w:b w:val="0"/>
                <w:bCs w:val="0"/>
                <w:color w:val="000000"/>
                <w:sz w:val="28"/>
              </w:rPr>
              <w:t>成果名称</w:t>
            </w:r>
          </w:p>
        </w:tc>
        <w:tc>
          <w:tcPr>
            <w:tcW w:w="6237" w:type="dxa"/>
            <w:vAlign w:val="center"/>
          </w:tcPr>
          <w:p>
            <w:pPr>
              <w:jc w:val="center"/>
              <w:rPr>
                <w:rStyle w:val="4"/>
                <w:rFonts w:ascii="仿宋_GB2312" w:hAnsi="仿宋" w:eastAsia="仿宋_GB2312" w:cs="仿宋"/>
                <w:b w:val="0"/>
                <w:color w:val="000000"/>
                <w:sz w:val="28"/>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露天矿山岩体参数精细快速获取与边坡稳定性定量评价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4"/>
                <w:rFonts w:ascii="仿宋_GB2312" w:hAnsi="仿宋" w:eastAsia="仿宋_GB2312" w:cs="仿宋"/>
                <w:b w:val="0"/>
                <w:color w:val="000000"/>
                <w:sz w:val="28"/>
              </w:rPr>
            </w:pPr>
            <w:r>
              <w:rPr>
                <w:rStyle w:val="4"/>
                <w:rFonts w:hint="eastAsia" w:ascii="仿宋_GB2312" w:hAnsi="仿宋" w:eastAsia="仿宋_GB2312" w:cs="仿宋"/>
                <w:b w:val="0"/>
                <w:bCs w:val="0"/>
                <w:color w:val="000000"/>
                <w:sz w:val="28"/>
              </w:rPr>
              <w:t>提名等级</w:t>
            </w:r>
          </w:p>
        </w:tc>
        <w:tc>
          <w:tcPr>
            <w:tcW w:w="6237" w:type="dxa"/>
            <w:vAlign w:val="center"/>
          </w:tcPr>
          <w:p>
            <w:pPr>
              <w:jc w:val="center"/>
              <w:rPr>
                <w:rStyle w:val="4"/>
                <w:rFonts w:hint="default" w:ascii="仿宋_GB2312" w:hAnsi="仿宋" w:eastAsia="仿宋_GB2312" w:cs="仿宋"/>
                <w:b w:val="0"/>
                <w:color w:val="000000"/>
                <w:sz w:val="28"/>
                <w:lang w:val="en-US" w:eastAsia="zh-CN"/>
              </w:rPr>
            </w:pPr>
            <w:r>
              <w:rPr>
                <w:rStyle w:val="4"/>
                <w:rFonts w:hint="eastAsia" w:ascii="仿宋_GB2312" w:hAnsi="仿宋" w:eastAsia="仿宋_GB2312" w:cs="仿宋"/>
                <w:b w:val="0"/>
                <w:color w:val="000000"/>
                <w:sz w:val="28"/>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6237" w:type="dxa"/>
            <w:vAlign w:val="center"/>
          </w:tcPr>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6237" w:type="dxa"/>
            <w:tcBorders>
              <w:left w:val="single" w:color="auto" w:sz="4" w:space="0"/>
            </w:tcBorders>
            <w:vAlign w:val="center"/>
          </w:tcPr>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杜时贵</w:t>
            </w:r>
            <w:r>
              <w:rPr>
                <w:rFonts w:hint="eastAsia" w:ascii="仿宋_GB2312" w:hAnsi="仿宋" w:eastAsia="仿宋_GB2312" w:cs="仿宋"/>
                <w:bCs/>
                <w:color w:val="000000" w:themeColor="text1"/>
                <w:sz w:val="24"/>
                <w:szCs w:val="24"/>
                <w14:textFill>
                  <w14:solidFill>
                    <w14:schemeClr w14:val="tx1"/>
                  </w14:solidFill>
                </w14:textFill>
              </w:rPr>
              <w:t>，排名1，</w:t>
            </w:r>
            <w:r>
              <w:rPr>
                <w:rFonts w:hint="eastAsia" w:ascii="仿宋_GB2312" w:hAnsi="仿宋" w:eastAsia="仿宋_GB2312" w:cs="仿宋"/>
                <w:bCs/>
                <w:color w:val="000000" w:themeColor="text1"/>
                <w:sz w:val="24"/>
                <w:szCs w:val="24"/>
                <w:lang w:val="en-US" w:eastAsia="zh-CN"/>
                <w14:textFill>
                  <w14:solidFill>
                    <w14:schemeClr w14:val="tx1"/>
                  </w14:solidFill>
                </w14:textFill>
              </w:rPr>
              <w:t>教授，宁波大学；</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杨小聪，排名2，研究员，矿冶科技集团有限公司；</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刘文连，排名3，教授级高工，中国有色金属工业昆</w:t>
            </w:r>
            <w:r>
              <w:rPr>
                <w:rFonts w:hint="default" w:ascii="仿宋_GB2312" w:hAnsi="仿宋" w:eastAsia="仿宋_GB2312" w:cs="仿宋"/>
                <w:bCs/>
                <w:color w:val="000000" w:themeColor="text1"/>
                <w:sz w:val="24"/>
                <w:szCs w:val="24"/>
                <w:lang w:val="en-US" w:eastAsia="zh-CN"/>
                <w14:textFill>
                  <w14:solidFill>
                    <w14:schemeClr w14:val="tx1"/>
                  </w14:solidFill>
                </w14:textFill>
              </w:rPr>
              <w:t>明勘察设计研究院有限公司</w:t>
            </w:r>
            <w:r>
              <w:rPr>
                <w:rFonts w:hint="eastAsia" w:ascii="仿宋_GB2312" w:hAnsi="仿宋" w:eastAsia="仿宋_GB2312" w:cs="仿宋"/>
                <w:bCs/>
                <w:color w:val="000000" w:themeColor="text1"/>
                <w:sz w:val="24"/>
                <w:szCs w:val="24"/>
                <w:lang w:val="en-US" w:eastAsia="zh-CN"/>
                <w14:textFill>
                  <w14:solidFill>
                    <w14:schemeClr w14:val="tx1"/>
                  </w14:solidFill>
                </w14:textFill>
              </w:rPr>
              <w:t>；</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default" w:ascii="仿宋_GB2312" w:hAnsi="仿宋" w:eastAsia="仿宋_GB2312" w:cs="仿宋"/>
                <w:bCs/>
                <w:color w:val="000000" w:themeColor="text1"/>
                <w:sz w:val="24"/>
                <w:szCs w:val="24"/>
                <w:lang w:val="en-US" w:eastAsia="zh-CN"/>
                <w14:textFill>
                  <w14:solidFill>
                    <w14:schemeClr w14:val="tx1"/>
                  </w14:solidFill>
                </w14:textFill>
              </w:rPr>
              <w:t>夏才初</w:t>
            </w:r>
            <w:r>
              <w:rPr>
                <w:rFonts w:hint="eastAsia" w:ascii="仿宋_GB2312" w:hAnsi="仿宋" w:eastAsia="仿宋_GB2312" w:cs="仿宋"/>
                <w:bCs/>
                <w:color w:val="000000" w:themeColor="text1"/>
                <w:sz w:val="24"/>
                <w:szCs w:val="24"/>
                <w:lang w:val="en-US" w:eastAsia="zh-CN"/>
                <w14:textFill>
                  <w14:solidFill>
                    <w14:schemeClr w14:val="tx1"/>
                  </w14:solidFill>
                </w14:textFill>
              </w:rPr>
              <w:t>，排名4，教授，同济大学；</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雍睿，排名5，研究员，宁波大学；</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李泽，排名6，教授，昆明理工大学；</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胡云进，排名7，教授，绍兴文理学院；</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罗战友，排名8，教授，浙江科技学院；</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default" w:ascii="仿宋_GB2312" w:hAnsi="仿宋" w:eastAsia="仿宋_GB2312" w:cs="仿宋"/>
                <w:bCs/>
                <w:color w:val="000000" w:themeColor="text1"/>
                <w:sz w:val="24"/>
                <w:szCs w:val="24"/>
                <w:lang w:val="en-US" w:eastAsia="zh-CN"/>
                <w14:textFill>
                  <w14:solidFill>
                    <w14:schemeClr w14:val="tx1"/>
                  </w14:solidFill>
                </w14:textFill>
              </w:rPr>
              <w:t>陈凯</w:t>
            </w:r>
            <w:r>
              <w:rPr>
                <w:rFonts w:hint="eastAsia" w:ascii="仿宋_GB2312" w:hAnsi="仿宋" w:eastAsia="仿宋_GB2312" w:cs="仿宋"/>
                <w:bCs/>
                <w:color w:val="000000" w:themeColor="text1"/>
                <w:sz w:val="24"/>
                <w:szCs w:val="24"/>
                <w:lang w:val="en-US" w:eastAsia="zh-CN"/>
                <w14:textFill>
                  <w14:solidFill>
                    <w14:schemeClr w14:val="tx1"/>
                  </w14:solidFill>
                </w14:textFill>
              </w:rPr>
              <w:t>，排名9，高工，矿冶科技集团有限公司；</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王秀庆，排名10，教授，绍兴文理学院；</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沈佳轶，排名11，副教授，浙江大学；</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黄曼，排名12，副教授，绍兴文理学院；</w:t>
            </w:r>
          </w:p>
          <w:p>
            <w:pPr>
              <w:keepNext w:val="0"/>
              <w:keepLines w:val="0"/>
              <w:widowControl/>
              <w:suppressLineNumbers w:val="0"/>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叶军，排名13，教授，绍兴文理学院；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6237" w:type="dxa"/>
            <w:tcBorders>
              <w:left w:val="single" w:color="auto" w:sz="4" w:space="0"/>
            </w:tcBorders>
            <w:vAlign w:val="center"/>
          </w:tcPr>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1.单位名称：</w:t>
            </w:r>
            <w:r>
              <w:rPr>
                <w:rFonts w:hint="eastAsia" w:ascii="仿宋_GB2312" w:hAnsi="仿宋" w:eastAsia="仿宋_GB2312" w:cs="仿宋"/>
                <w:bCs/>
                <w:color w:val="000000" w:themeColor="text1"/>
                <w:sz w:val="24"/>
                <w:szCs w:val="24"/>
                <w:lang w:val="en-US" w:eastAsia="zh-CN"/>
                <w14:textFill>
                  <w14:solidFill>
                    <w14:schemeClr w14:val="tx1"/>
                  </w14:solidFill>
                </w14:textFill>
              </w:rPr>
              <w:t>宁波大学；</w:t>
            </w:r>
          </w:p>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2.单位名称：</w:t>
            </w:r>
            <w:r>
              <w:rPr>
                <w:rFonts w:hint="eastAsia" w:ascii="仿宋_GB2312" w:hAnsi="仿宋" w:eastAsia="仿宋_GB2312" w:cs="仿宋"/>
                <w:bCs/>
                <w:color w:val="000000" w:themeColor="text1"/>
                <w:sz w:val="24"/>
                <w:szCs w:val="24"/>
                <w:lang w:val="en-US" w:eastAsia="zh-CN"/>
                <w14:textFill>
                  <w14:solidFill>
                    <w14:schemeClr w14:val="tx1"/>
                  </w14:solidFill>
                </w14:textFill>
              </w:rPr>
              <w:t>绍兴文理学院；</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3.单位名称：</w:t>
            </w:r>
            <w:bookmarkStart w:id="0" w:name="_GoBack"/>
            <w:bookmarkEnd w:id="0"/>
            <w:r>
              <w:rPr>
                <w:rFonts w:hint="eastAsia" w:ascii="仿宋_GB2312" w:hAnsi="仿宋" w:eastAsia="仿宋_GB2312" w:cs="仿宋"/>
                <w:bCs/>
                <w:color w:val="000000" w:themeColor="text1"/>
                <w:sz w:val="24"/>
                <w:szCs w:val="24"/>
                <w:lang w:val="en-US" w:eastAsia="zh-CN"/>
                <w14:textFill>
                  <w14:solidFill>
                    <w14:schemeClr w14:val="tx1"/>
                  </w14:solidFill>
                </w14:textFill>
              </w:rPr>
              <w:t>矿冶科技集团有限公司；</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4</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color w:val="000000" w:themeColor="text1"/>
                <w:sz w:val="24"/>
                <w:szCs w:val="24"/>
                <w:lang w:val="en-US" w:eastAsia="zh-CN"/>
                <w14:textFill>
                  <w14:solidFill>
                    <w14:schemeClr w14:val="tx1"/>
                  </w14:solidFill>
                </w14:textFill>
              </w:rPr>
              <w:t>同济大学；</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5</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color w:val="000000" w:themeColor="text1"/>
                <w:sz w:val="24"/>
                <w:szCs w:val="24"/>
                <w:lang w:val="en-US" w:eastAsia="zh-CN"/>
                <w14:textFill>
                  <w14:solidFill>
                    <w14:schemeClr w14:val="tx1"/>
                  </w14:solidFill>
                </w14:textFill>
              </w:rPr>
              <w:t>中国有色金属工业昆</w:t>
            </w:r>
            <w:r>
              <w:rPr>
                <w:rFonts w:hint="default" w:ascii="仿宋_GB2312" w:hAnsi="仿宋" w:eastAsia="仿宋_GB2312" w:cs="仿宋"/>
                <w:bCs/>
                <w:color w:val="000000" w:themeColor="text1"/>
                <w:sz w:val="24"/>
                <w:szCs w:val="24"/>
                <w:lang w:val="en-US" w:eastAsia="zh-CN"/>
                <w14:textFill>
                  <w14:solidFill>
                    <w14:schemeClr w14:val="tx1"/>
                  </w14:solidFill>
                </w14:textFill>
              </w:rPr>
              <w:t>明勘察设计研究院有限公司</w:t>
            </w:r>
            <w:r>
              <w:rPr>
                <w:rFonts w:hint="eastAsia" w:ascii="仿宋_GB2312" w:hAnsi="仿宋" w:eastAsia="仿宋_GB2312" w:cs="仿宋"/>
                <w:bCs/>
                <w:color w:val="000000" w:themeColor="text1"/>
                <w:sz w:val="24"/>
                <w:szCs w:val="24"/>
                <w:lang w:val="en-US" w:eastAsia="zh-CN"/>
                <w14:textFill>
                  <w14:solidFill>
                    <w14:schemeClr w14:val="tx1"/>
                  </w14:solidFill>
                </w14:textFill>
              </w:rPr>
              <w:t>；</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6</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default" w:ascii="仿宋_GB2312" w:hAnsi="仿宋" w:eastAsia="仿宋_GB2312" w:cs="仿宋"/>
                <w:bCs/>
                <w:color w:val="000000" w:themeColor="text1"/>
                <w:sz w:val="24"/>
                <w:szCs w:val="24"/>
                <w:lang w:val="en-US" w:eastAsia="zh-CN"/>
                <w14:textFill>
                  <w14:solidFill>
                    <w14:schemeClr w14:val="tx1"/>
                  </w14:solidFill>
                </w14:textFill>
              </w:rPr>
              <w:t>昆明理工大学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7</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default" w:ascii="仿宋_GB2312" w:hAnsi="仿宋" w:eastAsia="仿宋_GB2312" w:cs="仿宋"/>
                <w:bCs/>
                <w:color w:val="000000" w:themeColor="text1"/>
                <w:sz w:val="24"/>
                <w:szCs w:val="24"/>
                <w:lang w:val="en-US" w:eastAsia="zh-CN"/>
                <w14:textFill>
                  <w14:solidFill>
                    <w14:schemeClr w14:val="tx1"/>
                  </w14:solidFill>
                </w14:textFill>
              </w:rPr>
              <w:t>浙江大学</w:t>
            </w:r>
            <w:r>
              <w:rPr>
                <w:rFonts w:hint="eastAsia" w:ascii="仿宋_GB2312" w:hAnsi="仿宋" w:eastAsia="仿宋_GB2312" w:cs="仿宋"/>
                <w:bCs/>
                <w:color w:val="000000" w:themeColor="text1"/>
                <w:sz w:val="24"/>
                <w:szCs w:val="24"/>
                <w:lang w:val="en-US" w:eastAsia="zh-CN"/>
                <w14:textFill>
                  <w14:solidFill>
                    <w14:schemeClr w14:val="tx1"/>
                  </w14:solidFill>
                </w14:textFill>
              </w:rPr>
              <w:t>；</w:t>
            </w:r>
          </w:p>
          <w:p>
            <w:pPr>
              <w:spacing w:line="440" w:lineRule="exact"/>
              <w:jc w:val="left"/>
              <w:rPr>
                <w:rFonts w:hint="eastAsia"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8</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浙江科技学院；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提名单位</w:t>
            </w:r>
          </w:p>
        </w:tc>
        <w:tc>
          <w:tcPr>
            <w:tcW w:w="6237" w:type="dxa"/>
            <w:vAlign w:val="center"/>
          </w:tcPr>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宁波市科学技术局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eastAsia" w:ascii="仿宋_GB2312" w:hAnsi="仿宋" w:eastAsia="仿宋_GB2312" w:cs="仿宋"/>
                <w:bCs/>
                <w:color w:val="000000" w:themeColor="text1"/>
                <w:sz w:val="24"/>
                <w:szCs w:val="24"/>
                <w:lang w:val="en-US" w:eastAsia="zh-CN"/>
                <w14:textFill>
                  <w14:solidFill>
                    <w14:schemeClr w14:val="tx1"/>
                  </w14:solidFill>
                </w14:textFill>
              </w:rPr>
              <w:t>提名意见</w:t>
            </w:r>
          </w:p>
        </w:tc>
        <w:tc>
          <w:tcPr>
            <w:tcW w:w="6237" w:type="dxa"/>
            <w:vAlign w:val="center"/>
          </w:tcPr>
          <w:p>
            <w:pPr>
              <w:spacing w:line="440" w:lineRule="exact"/>
              <w:ind w:firstLine="480" w:firstLineChars="200"/>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default" w:ascii="仿宋_GB2312" w:hAnsi="仿宋" w:eastAsia="仿宋_GB2312" w:cs="仿宋"/>
                <w:bCs/>
                <w:color w:val="000000" w:themeColor="text1"/>
                <w:sz w:val="24"/>
                <w:szCs w:val="24"/>
                <w:lang w:val="en-US" w:eastAsia="zh-CN"/>
                <w14:textFill>
                  <w14:solidFill>
                    <w14:schemeClr w14:val="tx1"/>
                  </w14:solidFill>
                </w14:textFill>
              </w:rPr>
              <w:t>项目组经过</w:t>
            </w:r>
            <w:r>
              <w:rPr>
                <w:rFonts w:hint="eastAsia" w:ascii="仿宋_GB2312" w:hAnsi="仿宋" w:eastAsia="仿宋_GB2312" w:cs="仿宋"/>
                <w:bCs/>
                <w:color w:val="000000" w:themeColor="text1"/>
                <w:sz w:val="24"/>
                <w:szCs w:val="24"/>
                <w:lang w:val="en-US" w:eastAsia="zh-CN"/>
                <w14:textFill>
                  <w14:solidFill>
                    <w14:schemeClr w14:val="tx1"/>
                  </w14:solidFill>
                </w14:textFill>
              </w:rPr>
              <w:t>十</w:t>
            </w:r>
            <w:r>
              <w:rPr>
                <w:rFonts w:hint="default" w:ascii="仿宋_GB2312" w:hAnsi="仿宋" w:eastAsia="仿宋_GB2312" w:cs="仿宋"/>
                <w:bCs/>
                <w:color w:val="000000" w:themeColor="text1"/>
                <w:sz w:val="24"/>
                <w:szCs w:val="24"/>
                <w:lang w:val="en-US" w:eastAsia="zh-CN"/>
                <w14:textFill>
                  <w14:solidFill>
                    <w14:schemeClr w14:val="tx1"/>
                  </w14:solidFill>
                </w14:textFill>
              </w:rPr>
              <w:t>多年的技术创新，发明了岩体参数精细快速获取技术，攻破了数量众多、位置分散的露天矿山边坡稳定性全覆盖</w:t>
            </w:r>
            <w:r>
              <w:rPr>
                <w:rFonts w:hint="eastAsia" w:ascii="仿宋_GB2312" w:hAnsi="仿宋" w:eastAsia="仿宋_GB2312" w:cs="仿宋"/>
                <w:bCs/>
                <w:color w:val="000000" w:themeColor="text1"/>
                <w:sz w:val="24"/>
                <w:szCs w:val="24"/>
                <w:lang w:val="en-US" w:eastAsia="zh-CN"/>
                <w14:textFill>
                  <w14:solidFill>
                    <w14:schemeClr w14:val="tx1"/>
                  </w14:solidFill>
                </w14:textFill>
              </w:rPr>
              <w:t>精确</w:t>
            </w:r>
            <w:r>
              <w:rPr>
                <w:rFonts w:hint="default" w:ascii="仿宋_GB2312" w:hAnsi="仿宋" w:eastAsia="仿宋_GB2312" w:cs="仿宋"/>
                <w:bCs/>
                <w:color w:val="000000" w:themeColor="text1"/>
                <w:sz w:val="24"/>
                <w:szCs w:val="24"/>
                <w:lang w:val="en-US" w:eastAsia="zh-CN"/>
                <w14:textFill>
                  <w14:solidFill>
                    <w14:schemeClr w14:val="tx1"/>
                  </w14:solidFill>
                </w14:textFill>
              </w:rPr>
              <w:t>评价历史性难题。首创结构面粗糙度系数（JRC）</w:t>
            </w:r>
            <w:r>
              <w:rPr>
                <w:rFonts w:hint="eastAsia" w:ascii="仿宋_GB2312" w:hAnsi="仿宋" w:eastAsia="仿宋_GB2312" w:cs="仿宋"/>
                <w:bCs/>
                <w:color w:val="000000" w:themeColor="text1"/>
                <w:sz w:val="24"/>
                <w:szCs w:val="24"/>
                <w:lang w:val="en-US" w:eastAsia="zh-CN"/>
                <w14:textFill>
                  <w14:solidFill>
                    <w14:schemeClr w14:val="tx1"/>
                  </w14:solidFill>
                </w14:textFill>
              </w:rPr>
              <w:t>全域</w:t>
            </w:r>
            <w:r>
              <w:rPr>
                <w:rFonts w:hint="default" w:ascii="仿宋_GB2312" w:hAnsi="仿宋" w:eastAsia="仿宋_GB2312" w:cs="仿宋"/>
                <w:bCs/>
                <w:color w:val="000000" w:themeColor="text1"/>
                <w:sz w:val="24"/>
                <w:szCs w:val="24"/>
                <w:lang w:val="en-US" w:eastAsia="zh-CN"/>
                <w14:textFill>
                  <w14:solidFill>
                    <w14:schemeClr w14:val="tx1"/>
                  </w14:solidFill>
                </w14:textFill>
              </w:rPr>
              <w:t>搜索测量方法，在国内外率先实现了JRC可重复性测量；创立中智技术体系，开发体现“四性”的JRC精细获取技术与软件，使我国的JRC获取技术发展到“国际领先水平”；首创等分辨率扫描测量技术，在国际上率先实现了三维激光“等步距角”向“等分辨率”扫描的历史性转变；发明了边坡稳定性全局最优化分析方法，在国内外率先从下限解和上限解两个方向来逼近矿山边坡稳定性真实解，既弥补了人为假定滑动面的不足，又避免了加载历史和本构关系对数值计算结果的影响。取得了革命性的创新研究成果，总体达到了该领域国际领先水平。</w:t>
            </w:r>
          </w:p>
          <w:p>
            <w:pPr>
              <w:spacing w:line="440" w:lineRule="exact"/>
              <w:ind w:firstLine="480" w:firstLineChars="200"/>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r>
              <w:rPr>
                <w:rFonts w:hint="default" w:ascii="仿宋_GB2312" w:hAnsi="仿宋" w:eastAsia="仿宋_GB2312" w:cs="仿宋"/>
                <w:bCs/>
                <w:color w:val="000000" w:themeColor="text1"/>
                <w:sz w:val="24"/>
                <w:szCs w:val="24"/>
                <w:lang w:val="en-US" w:eastAsia="zh-CN"/>
                <w14:textFill>
                  <w14:solidFill>
                    <w14:schemeClr w14:val="tx1"/>
                  </w14:solidFill>
                </w14:textFill>
              </w:rPr>
              <w:t>提名该项目为</w:t>
            </w:r>
            <w:r>
              <w:rPr>
                <w:rFonts w:hint="eastAsia" w:ascii="仿宋_GB2312" w:hAnsi="仿宋" w:eastAsia="仿宋_GB2312" w:cs="仿宋"/>
                <w:bCs/>
                <w:color w:val="000000" w:themeColor="text1"/>
                <w:sz w:val="24"/>
                <w:szCs w:val="24"/>
                <w:lang w:val="en-US" w:eastAsia="zh-CN"/>
                <w14:textFill>
                  <w14:solidFill>
                    <w14:schemeClr w14:val="tx1"/>
                  </w14:solidFill>
                </w14:textFill>
              </w:rPr>
              <w:t>浙江省</w:t>
            </w:r>
            <w:r>
              <w:rPr>
                <w:rFonts w:hint="default" w:ascii="仿宋_GB2312" w:hAnsi="仿宋" w:eastAsia="仿宋_GB2312" w:cs="仿宋"/>
                <w:bCs/>
                <w:color w:val="000000" w:themeColor="text1"/>
                <w:sz w:val="24"/>
                <w:szCs w:val="24"/>
                <w:lang w:val="en-US" w:eastAsia="zh-CN"/>
                <w14:textFill>
                  <w14:solidFill>
                    <w14:schemeClr w14:val="tx1"/>
                  </w14:solidFill>
                </w14:textFill>
              </w:rPr>
              <w:t>科学技术进步奖一等奖</w:t>
            </w:r>
            <w:r>
              <w:rPr>
                <w:rFonts w:hint="eastAsia" w:ascii="仿宋_GB2312" w:hAnsi="仿宋" w:eastAsia="仿宋_GB2312" w:cs="仿宋"/>
                <w:bCs/>
                <w:color w:val="000000" w:themeColor="text1"/>
                <w:sz w:val="24"/>
                <w:szCs w:val="24"/>
                <w:lang w:val="en-US" w:eastAsia="zh-CN"/>
                <w14:textFill>
                  <w14:solidFill>
                    <w14:schemeClr w14:val="tx1"/>
                  </w14:solidFill>
                </w14:textFill>
              </w:rPr>
              <w:t>。</w:t>
            </w:r>
          </w:p>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p>
        </w:tc>
      </w:tr>
    </w:tbl>
    <w:p>
      <w:pPr>
        <w:spacing w:line="440" w:lineRule="exact"/>
        <w:jc w:val="left"/>
        <w:rPr>
          <w:rFonts w:hint="default" w:ascii="仿宋_GB2312" w:hAnsi="仿宋" w:eastAsia="仿宋_GB2312" w:cs="仿宋"/>
          <w:bCs/>
          <w:color w:val="000000" w:themeColor="text1"/>
          <w:sz w:val="24"/>
          <w:szCs w:val="24"/>
          <w:lang w:val="en-US" w:eastAsia="zh-CN"/>
          <w14:textFill>
            <w14:solidFill>
              <w14:schemeClr w14:val="tx1"/>
            </w14:solidFill>
          </w14:textFill>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45C96"/>
    <w:rsid w:val="0974084E"/>
    <w:rsid w:val="12575D08"/>
    <w:rsid w:val="20AE15D0"/>
    <w:rsid w:val="297D4A3C"/>
    <w:rsid w:val="32FF5C05"/>
    <w:rsid w:val="3C2156D1"/>
    <w:rsid w:val="3C221B09"/>
    <w:rsid w:val="40BD352B"/>
    <w:rsid w:val="493B5DC2"/>
    <w:rsid w:val="547C29AC"/>
    <w:rsid w:val="5AD87DAC"/>
    <w:rsid w:val="60F41B0E"/>
    <w:rsid w:val="6E3F3D81"/>
    <w:rsid w:val="72C858EE"/>
    <w:rsid w:val="76C22D3F"/>
    <w:rsid w:val="7FF8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2020-09-09T21:26:00Z</dcterms:created>
  <dc:creator>Admin</dc:creator>
  <cp:lastModifiedBy>Administrator</cp:lastModifiedBy>
  <dcterms:modified xsi:type="dcterms:W3CDTF">2020-09-14T00:34:41Z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