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A431">
      <w:pPr>
        <w:jc w:val="center"/>
        <w:rPr>
          <w:rStyle w:val="38"/>
          <w:rFonts w:eastAsia="方正小标宋简体"/>
          <w:bCs w:val="0"/>
          <w:color w:val="auto"/>
          <w:sz w:val="36"/>
          <w:szCs w:val="36"/>
        </w:rPr>
      </w:pPr>
      <w:r>
        <w:rPr>
          <w:rStyle w:val="38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38"/>
          <w:rFonts w:eastAsia="仿宋_GB2312"/>
          <w:b w:val="0"/>
          <w:color w:val="auto"/>
          <w:sz w:val="32"/>
          <w:szCs w:val="32"/>
        </w:rPr>
        <w:t>（单位提名）</w:t>
      </w:r>
    </w:p>
    <w:p w14:paraId="5C5164F0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提名奖项：（</w:t>
      </w:r>
      <w:r>
        <w:rPr>
          <w:rFonts w:eastAsia="仿宋_GB2312"/>
          <w:b w:val="0"/>
          <w:bCs w:val="0"/>
          <w:color w:val="auto"/>
          <w:sz w:val="28"/>
          <w:szCs w:val="24"/>
        </w:rPr>
        <w:t>科学技术进步</w:t>
      </w:r>
      <w:r>
        <w:rPr>
          <w:rFonts w:hint="eastAsia" w:eastAsia="仿宋_GB2312"/>
          <w:b w:val="0"/>
          <w:bCs w:val="0"/>
          <w:color w:val="auto"/>
          <w:sz w:val="28"/>
          <w:szCs w:val="24"/>
          <w:lang w:val="en-US" w:eastAsia="zh-CN"/>
        </w:rPr>
        <w:t>二等</w:t>
      </w:r>
      <w:r>
        <w:rPr>
          <w:rFonts w:eastAsia="仿宋_GB2312"/>
          <w:b w:val="0"/>
          <w:bCs w:val="0"/>
          <w:color w:val="auto"/>
          <w:sz w:val="28"/>
          <w:szCs w:val="24"/>
        </w:rPr>
        <w:t>奖</w:t>
      </w:r>
      <w:r>
        <w:rPr>
          <w:rFonts w:eastAsia="仿宋_GB2312"/>
          <w:color w:val="auto"/>
          <w:sz w:val="28"/>
          <w:szCs w:val="24"/>
        </w:rPr>
        <w:t>）</w:t>
      </w:r>
    </w:p>
    <w:tbl>
      <w:tblPr>
        <w:tblStyle w:val="19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6777"/>
      </w:tblGrid>
      <w:tr w14:paraId="2BCB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29" w:type="dxa"/>
            <w:vAlign w:val="center"/>
          </w:tcPr>
          <w:p w14:paraId="6BEDDD77">
            <w:pPr>
              <w:jc w:val="center"/>
              <w:rPr>
                <w:rStyle w:val="3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38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777" w:type="dxa"/>
            <w:vAlign w:val="center"/>
          </w:tcPr>
          <w:p w14:paraId="7774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38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因素耦合下地质灾害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风险评估与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短临预警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一体化关键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</w:tr>
      <w:tr w14:paraId="29535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29" w:type="dxa"/>
            <w:vAlign w:val="center"/>
          </w:tcPr>
          <w:p w14:paraId="1F477384">
            <w:pPr>
              <w:jc w:val="center"/>
              <w:rPr>
                <w:rStyle w:val="3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38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777" w:type="dxa"/>
            <w:vAlign w:val="center"/>
          </w:tcPr>
          <w:p w14:paraId="14663D8A">
            <w:pPr>
              <w:jc w:val="center"/>
              <w:rPr>
                <w:rStyle w:val="38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38"/>
                <w:rFonts w:hint="eastAsia" w:eastAsia="仿宋_GB2312"/>
                <w:b w:val="0"/>
                <w:color w:val="auto"/>
                <w:sz w:val="24"/>
                <w:szCs w:val="22"/>
                <w:lang w:val="en-US" w:eastAsia="zh-CN"/>
              </w:rPr>
              <w:t>二等奖</w:t>
            </w:r>
          </w:p>
        </w:tc>
      </w:tr>
      <w:tr w14:paraId="7AA0A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9" w:type="dxa"/>
            <w:vAlign w:val="center"/>
          </w:tcPr>
          <w:p w14:paraId="50A32DD0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7D445A2F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777" w:type="dxa"/>
            <w:vAlign w:val="center"/>
          </w:tcPr>
          <w:p w14:paraId="2918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主要发明专利：</w:t>
            </w:r>
          </w:p>
          <w:p w14:paraId="6BAAE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多灾害场景融合可视化应急联动指挥（ZL202110904222.6,徐刚等）；</w:t>
            </w:r>
          </w:p>
          <w:p w14:paraId="5F9D8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一种多源数据融合的地质灾害预警系统</w:t>
            </w:r>
          </w:p>
          <w:p w14:paraId="4AA97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（ZL 2026 1 0222159.0，徐刚等）；</w:t>
            </w:r>
          </w:p>
          <w:p w14:paraId="3BD83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不同地形下邻域影响的地质灾害风险评价方法（ZL202011449067.5,徐刚等）；</w:t>
            </w:r>
          </w:p>
          <w:p w14:paraId="0A8B4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一种基于元伪标签多尺度图卷积网络的高光谱图像分类方法（ZL202510004147.6,徐刚等）；</w:t>
            </w:r>
          </w:p>
          <w:p w14:paraId="7A71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自然灾害风险监控管理平台（ZL202210284040.8,徐刚等）；</w:t>
            </w:r>
          </w:p>
          <w:p w14:paraId="0556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代表性论文专著：</w:t>
            </w:r>
          </w:p>
          <w:p w14:paraId="3C86A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Dual-Contrast Adaptation Network Coupling Global Context and Geometry Informationfor Cross-Domain Building Extraction（IEEE Transactions on Geoscience and Remote Sensing,中科院1区TOP,徐刚等）；</w:t>
            </w:r>
          </w:p>
          <w:p w14:paraId="2DA0E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Improved landslide susceptibility mapping using unsupervised and supervised collaborative machine learning models（Georisk: </w:t>
            </w:r>
            <w:r>
              <w:rPr>
                <w:rFonts w:ascii="Times New Roman" w:hAnsi="Times New Roman" w:eastAsia="Times New Roman" w:cs="Times New Roman"/>
                <w:spacing w:val="1"/>
                <w:kern w:val="0"/>
                <w:sz w:val="24"/>
              </w:rPr>
              <w:t>Assessment and Management of Risk for Engineered Systems and Geohazards</w:t>
            </w:r>
            <w:r>
              <w:rPr>
                <w:rFonts w:hint="eastAsia" w:ascii="Times New Roman" w:hAnsi="Times New Roman" w:eastAsia="宋体" w:cs="Times New Roman"/>
                <w:spacing w:val="1"/>
                <w:kern w:val="0"/>
                <w:sz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SCI一区，张帅等）；</w:t>
            </w:r>
          </w:p>
          <w:p w14:paraId="7B9DD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区域统计约束的滑坡易发性评估与制图（测绘通报,中文核心,徐刚等）；</w:t>
            </w:r>
          </w:p>
          <w:p w14:paraId="799D8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spacing w:val="1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1"/>
                <w:kern w:val="0"/>
                <w:sz w:val="24"/>
              </w:rPr>
              <w:t>A slow-moving landslide risk assessment procedure using thematic maps and InSAR data: a case study</w:t>
            </w:r>
            <w:r>
              <w:rPr>
                <w:rFonts w:hint="eastAsia" w:ascii="Times New Roman" w:hAnsi="Times New Roman" w:eastAsia="宋体" w:cs="Times New Roman"/>
                <w:spacing w:val="1"/>
                <w:kern w:val="0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  <w:kern w:val="0"/>
                <w:sz w:val="24"/>
              </w:rPr>
              <w:t>Georisk: Assessment and Management of Risk for Engineered Systems and Geohazards</w:t>
            </w:r>
            <w:r>
              <w:rPr>
                <w:rFonts w:hint="eastAsia" w:ascii="Times New Roman" w:hAnsi="Times New Roman" w:eastAsia="宋体" w:cs="Times New Roman"/>
                <w:spacing w:val="1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pacing w:val="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SCI一区，张帅等</w:t>
            </w:r>
            <w:r>
              <w:rPr>
                <w:rFonts w:hint="eastAsia" w:ascii="Times New Roman" w:hAnsi="Times New Roman" w:eastAsia="宋体" w:cs="Times New Roman"/>
                <w:spacing w:val="1"/>
                <w:kern w:val="0"/>
                <w:sz w:val="24"/>
                <w:lang w:eastAsia="zh-CN"/>
              </w:rPr>
              <w:t>）</w:t>
            </w:r>
          </w:p>
          <w:p w14:paraId="226A4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Landslide hazard prediction under an extreme rainfall scenario by considering multiple timescale rainfalls and effective recharge（Georisk: Assessment and Management of Risk for Engineered Systems and Geohazards，SCI一区，徐刚等）；</w:t>
            </w:r>
          </w:p>
        </w:tc>
      </w:tr>
      <w:tr w14:paraId="68853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729" w:type="dxa"/>
            <w:tcBorders>
              <w:right w:val="single" w:color="auto" w:sz="4" w:space="0"/>
            </w:tcBorders>
            <w:vAlign w:val="center"/>
          </w:tcPr>
          <w:p w14:paraId="6532D7BB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777" w:type="dxa"/>
            <w:tcBorders>
              <w:left w:val="single" w:color="auto" w:sz="4" w:space="0"/>
            </w:tcBorders>
            <w:vAlign w:val="center"/>
          </w:tcPr>
          <w:p w14:paraId="3E9DCDEA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徐  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排名1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教授、正高级工程师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浙江安防职业技术学院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29057474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帅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研究员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4AEF9D8D">
            <w:pPr>
              <w:spacing w:line="440" w:lineRule="exact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罗秀锋，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3，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浙江省自然资源集团有限公司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76986A3">
            <w:pPr>
              <w:spacing w:line="440" w:lineRule="exact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  君，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副研究员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浙江安防职业技术学院；</w:t>
            </w:r>
          </w:p>
          <w:p w14:paraId="2C981989">
            <w:pPr>
              <w:spacing w:line="440" w:lineRule="exact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杨文敬，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高级工程师，浙江省测绘科学技术研究院；</w:t>
            </w:r>
          </w:p>
          <w:p w14:paraId="39804B2D">
            <w:pPr>
              <w:spacing w:line="440" w:lineRule="exact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王云阁，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6，助理研究员，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浙江安防职业技术学院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6F9E2ED">
            <w:pPr>
              <w:spacing w:line="440" w:lineRule="exact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徐登财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，排名7，正高级工程师，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温州市地质环境监测中心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B0DAEE6">
            <w:pPr>
              <w:spacing w:line="440" w:lineRule="exact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闫铁生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8，正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高级工程师，浙江省自然资源集团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D59A1FD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  舒，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9，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高级工程师，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浙江省测绘科学技术研究院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2923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729" w:type="dxa"/>
            <w:tcBorders>
              <w:right w:val="single" w:color="auto" w:sz="4" w:space="0"/>
            </w:tcBorders>
            <w:vAlign w:val="center"/>
          </w:tcPr>
          <w:p w14:paraId="7DD83B55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777" w:type="dxa"/>
            <w:tcBorders>
              <w:left w:val="single" w:color="auto" w:sz="4" w:space="0"/>
            </w:tcBorders>
            <w:vAlign w:val="center"/>
          </w:tcPr>
          <w:p w14:paraId="31D03A65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1.单位名称：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E1B9B1C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2.单位名称：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浙江省自然资源集团有限公司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D39B608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3.单位名称：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浙江安防职业技术学院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C1FE1E2">
            <w:pPr>
              <w:spacing w:line="440" w:lineRule="exact"/>
              <w:jc w:val="left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.单位名称：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浙江省测绘科学技术研究院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09F9CE9">
            <w:pPr>
              <w:spacing w:line="440" w:lineRule="exact"/>
              <w:jc w:val="left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5.单位名称：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温州市地质环境监测中心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7810519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单位名称：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浙江城安大数据有限公司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0A9A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29" w:type="dxa"/>
            <w:vAlign w:val="center"/>
          </w:tcPr>
          <w:p w14:paraId="38B8ABD7">
            <w:pPr>
              <w:jc w:val="center"/>
              <w:rPr>
                <w:rStyle w:val="3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38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777" w:type="dxa"/>
            <w:vAlign w:val="center"/>
          </w:tcPr>
          <w:p w14:paraId="6E12AC22">
            <w:pPr>
              <w:contextualSpacing/>
              <w:jc w:val="center"/>
              <w:rPr>
                <w:rStyle w:val="38"/>
                <w:rFonts w:hint="eastAsia" w:eastAsia="仿宋_GB2312"/>
                <w:b w:val="0"/>
                <w:color w:val="auto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浙江省自然资源厅</w:t>
            </w:r>
          </w:p>
        </w:tc>
      </w:tr>
      <w:tr w14:paraId="69C81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729" w:type="dxa"/>
            <w:vAlign w:val="center"/>
          </w:tcPr>
          <w:p w14:paraId="72143561">
            <w:pPr>
              <w:jc w:val="center"/>
              <w:rPr>
                <w:rStyle w:val="3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38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777" w:type="dxa"/>
            <w:vAlign w:val="center"/>
          </w:tcPr>
          <w:p w14:paraId="70D5332B">
            <w:pPr>
              <w:widowControl w:val="0"/>
              <w:spacing w:line="400" w:lineRule="exact"/>
              <w:ind w:firstLine="488" w:firstLineChars="200"/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项目面向国家地质灾害防治现代化需求，针对东南沿海丘陵区地质灾害“台风降雨诱发、隐蔽性强、突发性高、链生群发”典型特征及“风险评估不准、预警精细不足、管控链条不通”瓶颈，依托国家重点研发计划重点专项、国家自然科学基金、浙江省自然资源重点科技项目等，历经多年产学研攻关，形成了“精准风险评估方法—精细短临预警技术—数智协同管控平台”一体化技术体系。经陈军院士等专家评价认定“整体技术国内领先，多源时空数据融合的孕灾环境与台风降雨动态耦合方法、小尺度分钟级精细短临预警技术等国际领先”。</w:t>
            </w:r>
          </w:p>
          <w:p w14:paraId="7171CF87">
            <w:pPr>
              <w:widowControl w:val="0"/>
              <w:spacing w:line="400" w:lineRule="exact"/>
              <w:ind w:firstLine="488" w:firstLineChars="200"/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主要创新：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提出了复杂异质条件下的地质灾害风险精准评估方法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，实现了承灾体的高精度识别及灾害风险的高置信度分区分级量化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；2.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研发了孕灾环境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台风降雨动态耦合的精细短临预警技术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，实现了地质灾害多模态数据的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高效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空间融合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精细短临预警的分钟级生成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；3.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创建了基于数字孪生的地质灾害全链条数智化风险管控平台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实现了预报预警信息及避险指引定向秒级推送至受威胁个体。</w:t>
            </w:r>
          </w:p>
          <w:p w14:paraId="1F101B0A">
            <w:pPr>
              <w:widowControl w:val="0"/>
              <w:spacing w:line="400" w:lineRule="exact"/>
              <w:ind w:firstLine="488" w:firstLineChars="200"/>
              <w:rPr>
                <w:bCs/>
                <w:spacing w:val="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件、论文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篇、其他知识产权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件，核心指标显著优于国内外同类技术。近三年在浙江省规模化应用，直接经济效益超</w:t>
            </w:r>
            <w:r>
              <w:rPr>
                <w:rFonts w:hint="eastAsia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亿元，有效应对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余次台风暴雨，预警成功避险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多起地质灾害，避免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多人伤亡，减少经济损失超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亿元，成果应用成功避险案例获自然资源部全国推广，已形成可复制、可迁移、可持续迭代的跨区域推广范式。</w:t>
            </w:r>
          </w:p>
          <w:p w14:paraId="5ED7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left"/>
              <w:textAlignment w:val="auto"/>
              <w:rPr>
                <w:rStyle w:val="38"/>
                <w:b w:val="0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提名该成果为省科学技术进步奖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pacing w:val="2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等奖。</w:t>
            </w:r>
          </w:p>
        </w:tc>
      </w:tr>
    </w:tbl>
    <w:p w14:paraId="30EFFE3B">
      <w:pPr>
        <w:spacing w:line="50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07770F7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570ED96-D0DE-4215-925A-CB4CFCB68E4E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62F502C-B78F-418B-AF09-9FE8807E8AC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1269"/>
    </w:sdtPr>
    <w:sdtEndPr>
      <w:rPr>
        <w:sz w:val="21"/>
        <w:szCs w:val="21"/>
      </w:rPr>
    </w:sdtEndPr>
    <w:sdtContent>
      <w:p w14:paraId="3EB14D46">
        <w:pPr>
          <w:pStyle w:val="1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142</w:t>
        </w:r>
        <w:r>
          <w:rPr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253B3">
    <w:pPr>
      <w:ind w:left="420" w:hanging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073E5F"/>
    <w:multiLevelType w:val="singleLevel"/>
    <w:tmpl w:val="E0073E5F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4072C1FE"/>
    <w:multiLevelType w:val="singleLevel"/>
    <w:tmpl w:val="4072C1F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yZDVlYjU1MjI0YTVhMTJjODZiOWUxNTM5MDU3NmYifQ=="/>
  </w:docVars>
  <w:rsids>
    <w:rsidRoot w:val="042E3C5A"/>
    <w:rsid w:val="00001D64"/>
    <w:rsid w:val="00026896"/>
    <w:rsid w:val="0002775C"/>
    <w:rsid w:val="0004168E"/>
    <w:rsid w:val="00054AB9"/>
    <w:rsid w:val="00055B6A"/>
    <w:rsid w:val="00064173"/>
    <w:rsid w:val="00074DF7"/>
    <w:rsid w:val="000B4894"/>
    <w:rsid w:val="000E42F4"/>
    <w:rsid w:val="00114E4A"/>
    <w:rsid w:val="00116259"/>
    <w:rsid w:val="00144178"/>
    <w:rsid w:val="001A4A70"/>
    <w:rsid w:val="001A6F8B"/>
    <w:rsid w:val="001B223C"/>
    <w:rsid w:val="001B4E19"/>
    <w:rsid w:val="001D3999"/>
    <w:rsid w:val="001D7DE8"/>
    <w:rsid w:val="00212620"/>
    <w:rsid w:val="002264FD"/>
    <w:rsid w:val="00235FF9"/>
    <w:rsid w:val="002760FD"/>
    <w:rsid w:val="0028124F"/>
    <w:rsid w:val="0028781E"/>
    <w:rsid w:val="00296EC2"/>
    <w:rsid w:val="002A4F81"/>
    <w:rsid w:val="002B0A7C"/>
    <w:rsid w:val="002B47B8"/>
    <w:rsid w:val="002D66C7"/>
    <w:rsid w:val="00306DA1"/>
    <w:rsid w:val="003C2380"/>
    <w:rsid w:val="003D1590"/>
    <w:rsid w:val="003D5BFF"/>
    <w:rsid w:val="003D7192"/>
    <w:rsid w:val="003E1776"/>
    <w:rsid w:val="003F4E58"/>
    <w:rsid w:val="00421BDC"/>
    <w:rsid w:val="0046106E"/>
    <w:rsid w:val="0046550B"/>
    <w:rsid w:val="00467183"/>
    <w:rsid w:val="00484109"/>
    <w:rsid w:val="0049514E"/>
    <w:rsid w:val="004B3B39"/>
    <w:rsid w:val="004C799B"/>
    <w:rsid w:val="004E5FE2"/>
    <w:rsid w:val="0052047E"/>
    <w:rsid w:val="005505A6"/>
    <w:rsid w:val="00590326"/>
    <w:rsid w:val="005B7CBC"/>
    <w:rsid w:val="00610070"/>
    <w:rsid w:val="00625D67"/>
    <w:rsid w:val="006A20F5"/>
    <w:rsid w:val="006C66DD"/>
    <w:rsid w:val="00706EEF"/>
    <w:rsid w:val="00736703"/>
    <w:rsid w:val="0074103D"/>
    <w:rsid w:val="00745D76"/>
    <w:rsid w:val="007D5E0A"/>
    <w:rsid w:val="007E34B7"/>
    <w:rsid w:val="008240F3"/>
    <w:rsid w:val="00853AFF"/>
    <w:rsid w:val="00880078"/>
    <w:rsid w:val="008C3AC6"/>
    <w:rsid w:val="008E0F11"/>
    <w:rsid w:val="0095184C"/>
    <w:rsid w:val="009614B3"/>
    <w:rsid w:val="009B5F83"/>
    <w:rsid w:val="009E5C8C"/>
    <w:rsid w:val="009F2C1C"/>
    <w:rsid w:val="00A521B3"/>
    <w:rsid w:val="00A62A23"/>
    <w:rsid w:val="00A62B98"/>
    <w:rsid w:val="00A751A4"/>
    <w:rsid w:val="00AE1618"/>
    <w:rsid w:val="00B14D95"/>
    <w:rsid w:val="00B22FDA"/>
    <w:rsid w:val="00B56ADD"/>
    <w:rsid w:val="00B6471C"/>
    <w:rsid w:val="00B670C5"/>
    <w:rsid w:val="00B9190D"/>
    <w:rsid w:val="00BC7F4D"/>
    <w:rsid w:val="00BE36A8"/>
    <w:rsid w:val="00BE51CC"/>
    <w:rsid w:val="00BF1374"/>
    <w:rsid w:val="00C73C1A"/>
    <w:rsid w:val="00CD05AF"/>
    <w:rsid w:val="00D11C00"/>
    <w:rsid w:val="00D12DB7"/>
    <w:rsid w:val="00D26AB6"/>
    <w:rsid w:val="00D44652"/>
    <w:rsid w:val="00D56146"/>
    <w:rsid w:val="00D67C2F"/>
    <w:rsid w:val="00D819A9"/>
    <w:rsid w:val="00DA7857"/>
    <w:rsid w:val="00E00FE4"/>
    <w:rsid w:val="00E21B64"/>
    <w:rsid w:val="00E46B25"/>
    <w:rsid w:val="00E474D6"/>
    <w:rsid w:val="00E6320E"/>
    <w:rsid w:val="00E716CE"/>
    <w:rsid w:val="00E71E0A"/>
    <w:rsid w:val="00E77F5D"/>
    <w:rsid w:val="00E90BC0"/>
    <w:rsid w:val="00EA74A0"/>
    <w:rsid w:val="00EC6FF2"/>
    <w:rsid w:val="00EF2D20"/>
    <w:rsid w:val="00F026D5"/>
    <w:rsid w:val="00F47445"/>
    <w:rsid w:val="00F524AC"/>
    <w:rsid w:val="00F55384"/>
    <w:rsid w:val="00FA5895"/>
    <w:rsid w:val="00FC11CA"/>
    <w:rsid w:val="00FC5844"/>
    <w:rsid w:val="011A0527"/>
    <w:rsid w:val="012D3015"/>
    <w:rsid w:val="013E3CC0"/>
    <w:rsid w:val="01674849"/>
    <w:rsid w:val="01F63C31"/>
    <w:rsid w:val="01FF1E15"/>
    <w:rsid w:val="02217A9A"/>
    <w:rsid w:val="023C1459"/>
    <w:rsid w:val="025277C1"/>
    <w:rsid w:val="02824BC3"/>
    <w:rsid w:val="02DC3F04"/>
    <w:rsid w:val="030661AE"/>
    <w:rsid w:val="03A367D0"/>
    <w:rsid w:val="03BA508A"/>
    <w:rsid w:val="03C46337"/>
    <w:rsid w:val="040675D0"/>
    <w:rsid w:val="042E3C5A"/>
    <w:rsid w:val="043C3C53"/>
    <w:rsid w:val="044C1240"/>
    <w:rsid w:val="048C54B6"/>
    <w:rsid w:val="04C966D4"/>
    <w:rsid w:val="05093123"/>
    <w:rsid w:val="05380A61"/>
    <w:rsid w:val="05423841"/>
    <w:rsid w:val="05CD138A"/>
    <w:rsid w:val="0617284E"/>
    <w:rsid w:val="061956FE"/>
    <w:rsid w:val="061D4AC0"/>
    <w:rsid w:val="06443FD4"/>
    <w:rsid w:val="067555B6"/>
    <w:rsid w:val="06EC5498"/>
    <w:rsid w:val="070D6D82"/>
    <w:rsid w:val="0721078B"/>
    <w:rsid w:val="076E3B13"/>
    <w:rsid w:val="07AF1FA1"/>
    <w:rsid w:val="07CC0562"/>
    <w:rsid w:val="07D55313"/>
    <w:rsid w:val="07E452E1"/>
    <w:rsid w:val="07E52239"/>
    <w:rsid w:val="0808555F"/>
    <w:rsid w:val="0832001C"/>
    <w:rsid w:val="0849622F"/>
    <w:rsid w:val="085D27B1"/>
    <w:rsid w:val="08613011"/>
    <w:rsid w:val="08835BD4"/>
    <w:rsid w:val="088745E1"/>
    <w:rsid w:val="08BB69FA"/>
    <w:rsid w:val="08F768DF"/>
    <w:rsid w:val="09092AAB"/>
    <w:rsid w:val="09197723"/>
    <w:rsid w:val="09270A3D"/>
    <w:rsid w:val="0932035C"/>
    <w:rsid w:val="09387B21"/>
    <w:rsid w:val="093E46E5"/>
    <w:rsid w:val="09475C6D"/>
    <w:rsid w:val="0970112F"/>
    <w:rsid w:val="09756E61"/>
    <w:rsid w:val="099C49E4"/>
    <w:rsid w:val="09D27E0F"/>
    <w:rsid w:val="09EB0224"/>
    <w:rsid w:val="0A333A71"/>
    <w:rsid w:val="0A407070"/>
    <w:rsid w:val="0A590C06"/>
    <w:rsid w:val="0A996863"/>
    <w:rsid w:val="0AA10640"/>
    <w:rsid w:val="0AC208AA"/>
    <w:rsid w:val="0B594261"/>
    <w:rsid w:val="0B601D1B"/>
    <w:rsid w:val="0BA12A0D"/>
    <w:rsid w:val="0BAA0BF6"/>
    <w:rsid w:val="0BC05465"/>
    <w:rsid w:val="0BC639A4"/>
    <w:rsid w:val="0BD57EF2"/>
    <w:rsid w:val="0C245A64"/>
    <w:rsid w:val="0C41302A"/>
    <w:rsid w:val="0CAA4C53"/>
    <w:rsid w:val="0CB40F26"/>
    <w:rsid w:val="0CDD7B68"/>
    <w:rsid w:val="0D3C6893"/>
    <w:rsid w:val="0D6875C3"/>
    <w:rsid w:val="0E852C83"/>
    <w:rsid w:val="0F091CC9"/>
    <w:rsid w:val="0F225395"/>
    <w:rsid w:val="0FAF52DD"/>
    <w:rsid w:val="0FCB62E7"/>
    <w:rsid w:val="10086339"/>
    <w:rsid w:val="100C44FD"/>
    <w:rsid w:val="10C325A6"/>
    <w:rsid w:val="10CE1AEB"/>
    <w:rsid w:val="10DD77C5"/>
    <w:rsid w:val="10E20F9C"/>
    <w:rsid w:val="10E22A17"/>
    <w:rsid w:val="11414A04"/>
    <w:rsid w:val="114A0383"/>
    <w:rsid w:val="116220F2"/>
    <w:rsid w:val="11BE5653"/>
    <w:rsid w:val="11FB7D96"/>
    <w:rsid w:val="12044982"/>
    <w:rsid w:val="126B2AEB"/>
    <w:rsid w:val="126D46F2"/>
    <w:rsid w:val="12937E16"/>
    <w:rsid w:val="12E51854"/>
    <w:rsid w:val="134F7DC3"/>
    <w:rsid w:val="14720216"/>
    <w:rsid w:val="14CE6244"/>
    <w:rsid w:val="14F759B1"/>
    <w:rsid w:val="156A135F"/>
    <w:rsid w:val="15767658"/>
    <w:rsid w:val="15913771"/>
    <w:rsid w:val="15CE1B62"/>
    <w:rsid w:val="16102DAB"/>
    <w:rsid w:val="16200797"/>
    <w:rsid w:val="163E2A17"/>
    <w:rsid w:val="16443D26"/>
    <w:rsid w:val="166F36B8"/>
    <w:rsid w:val="16E6314C"/>
    <w:rsid w:val="170320F3"/>
    <w:rsid w:val="173E0718"/>
    <w:rsid w:val="17564E00"/>
    <w:rsid w:val="177B5E8C"/>
    <w:rsid w:val="17A970B8"/>
    <w:rsid w:val="17C30204"/>
    <w:rsid w:val="18034641"/>
    <w:rsid w:val="182721B5"/>
    <w:rsid w:val="185E6A02"/>
    <w:rsid w:val="186C00D0"/>
    <w:rsid w:val="18D67282"/>
    <w:rsid w:val="1915728B"/>
    <w:rsid w:val="19856539"/>
    <w:rsid w:val="199C1E32"/>
    <w:rsid w:val="19FF69FF"/>
    <w:rsid w:val="1A682661"/>
    <w:rsid w:val="1A966374"/>
    <w:rsid w:val="1AB5530F"/>
    <w:rsid w:val="1ABC2F38"/>
    <w:rsid w:val="1AFC2049"/>
    <w:rsid w:val="1B004D08"/>
    <w:rsid w:val="1B577516"/>
    <w:rsid w:val="1BAF2D0D"/>
    <w:rsid w:val="1BAF6202"/>
    <w:rsid w:val="1BB70E57"/>
    <w:rsid w:val="1C3012A3"/>
    <w:rsid w:val="1C734345"/>
    <w:rsid w:val="1CBC0320"/>
    <w:rsid w:val="1CC53D48"/>
    <w:rsid w:val="1CFD14E3"/>
    <w:rsid w:val="1D0F4673"/>
    <w:rsid w:val="1D10011F"/>
    <w:rsid w:val="1D1522EE"/>
    <w:rsid w:val="1D3F5364"/>
    <w:rsid w:val="1DEB0CE6"/>
    <w:rsid w:val="1E001A65"/>
    <w:rsid w:val="1E2527AC"/>
    <w:rsid w:val="1E5614CA"/>
    <w:rsid w:val="1E970BD4"/>
    <w:rsid w:val="1EAD0E61"/>
    <w:rsid w:val="1EB57D18"/>
    <w:rsid w:val="1EFF124F"/>
    <w:rsid w:val="1F4C5B16"/>
    <w:rsid w:val="1F6171FC"/>
    <w:rsid w:val="1F8C7542"/>
    <w:rsid w:val="202A5432"/>
    <w:rsid w:val="20346CD6"/>
    <w:rsid w:val="2041390D"/>
    <w:rsid w:val="20C50A02"/>
    <w:rsid w:val="20EF07AE"/>
    <w:rsid w:val="20FB07CA"/>
    <w:rsid w:val="216F099D"/>
    <w:rsid w:val="21D3134C"/>
    <w:rsid w:val="21D92D24"/>
    <w:rsid w:val="226B78D5"/>
    <w:rsid w:val="228C6D5E"/>
    <w:rsid w:val="23082B6D"/>
    <w:rsid w:val="23171A19"/>
    <w:rsid w:val="231D62B9"/>
    <w:rsid w:val="232E3850"/>
    <w:rsid w:val="234B6811"/>
    <w:rsid w:val="239A35E5"/>
    <w:rsid w:val="23FF2258"/>
    <w:rsid w:val="25005E54"/>
    <w:rsid w:val="251015ED"/>
    <w:rsid w:val="254D5B03"/>
    <w:rsid w:val="25687A82"/>
    <w:rsid w:val="25700D12"/>
    <w:rsid w:val="26C863CA"/>
    <w:rsid w:val="27D65774"/>
    <w:rsid w:val="28201F1F"/>
    <w:rsid w:val="288A1B2A"/>
    <w:rsid w:val="28D8108D"/>
    <w:rsid w:val="2939317F"/>
    <w:rsid w:val="2939710B"/>
    <w:rsid w:val="295D3BD8"/>
    <w:rsid w:val="29AE665D"/>
    <w:rsid w:val="29D40F75"/>
    <w:rsid w:val="2A1F1D95"/>
    <w:rsid w:val="2A523876"/>
    <w:rsid w:val="2A9F54F2"/>
    <w:rsid w:val="2AD07052"/>
    <w:rsid w:val="2B350DCE"/>
    <w:rsid w:val="2B6C4926"/>
    <w:rsid w:val="2B7E09FF"/>
    <w:rsid w:val="2B8C7000"/>
    <w:rsid w:val="2B9D1BD3"/>
    <w:rsid w:val="2BBF5D65"/>
    <w:rsid w:val="2C0719F7"/>
    <w:rsid w:val="2C365B84"/>
    <w:rsid w:val="2C821A78"/>
    <w:rsid w:val="2D172334"/>
    <w:rsid w:val="2D290282"/>
    <w:rsid w:val="2D4F6A6B"/>
    <w:rsid w:val="2D92220D"/>
    <w:rsid w:val="2DB525F7"/>
    <w:rsid w:val="2DB62831"/>
    <w:rsid w:val="2DCC49F2"/>
    <w:rsid w:val="2E171052"/>
    <w:rsid w:val="2E2E2FB7"/>
    <w:rsid w:val="2E7C04AA"/>
    <w:rsid w:val="2EB02011"/>
    <w:rsid w:val="2EE8585B"/>
    <w:rsid w:val="2EEA47E8"/>
    <w:rsid w:val="2EFB1FC5"/>
    <w:rsid w:val="2F2F16D6"/>
    <w:rsid w:val="2F9E1114"/>
    <w:rsid w:val="2FAD0F7F"/>
    <w:rsid w:val="2FB4573E"/>
    <w:rsid w:val="2FC00209"/>
    <w:rsid w:val="2FCD19C4"/>
    <w:rsid w:val="2FD70030"/>
    <w:rsid w:val="2FF704DC"/>
    <w:rsid w:val="3017458C"/>
    <w:rsid w:val="30446549"/>
    <w:rsid w:val="304D4617"/>
    <w:rsid w:val="30B8199B"/>
    <w:rsid w:val="3108789F"/>
    <w:rsid w:val="310C7479"/>
    <w:rsid w:val="311A29DE"/>
    <w:rsid w:val="3122665B"/>
    <w:rsid w:val="312C5CF7"/>
    <w:rsid w:val="315F16D9"/>
    <w:rsid w:val="31AD4B3A"/>
    <w:rsid w:val="31DF128D"/>
    <w:rsid w:val="32225DFD"/>
    <w:rsid w:val="325F4108"/>
    <w:rsid w:val="327B1544"/>
    <w:rsid w:val="32D738C2"/>
    <w:rsid w:val="32DA395F"/>
    <w:rsid w:val="332E4A44"/>
    <w:rsid w:val="338052E3"/>
    <w:rsid w:val="33A41BA5"/>
    <w:rsid w:val="3425351D"/>
    <w:rsid w:val="343A4DD6"/>
    <w:rsid w:val="34B64288"/>
    <w:rsid w:val="34C60079"/>
    <w:rsid w:val="34C96F4B"/>
    <w:rsid w:val="34D71C2B"/>
    <w:rsid w:val="34EF02D7"/>
    <w:rsid w:val="34EF51F1"/>
    <w:rsid w:val="34F23AD3"/>
    <w:rsid w:val="357D1231"/>
    <w:rsid w:val="3592207D"/>
    <w:rsid w:val="365930BC"/>
    <w:rsid w:val="36827754"/>
    <w:rsid w:val="36854365"/>
    <w:rsid w:val="36D44575"/>
    <w:rsid w:val="36EC7420"/>
    <w:rsid w:val="37C4498C"/>
    <w:rsid w:val="38101CEB"/>
    <w:rsid w:val="383B5D48"/>
    <w:rsid w:val="387D1EBD"/>
    <w:rsid w:val="38DD4BEB"/>
    <w:rsid w:val="38E64C99"/>
    <w:rsid w:val="39161217"/>
    <w:rsid w:val="394179A1"/>
    <w:rsid w:val="39F55C09"/>
    <w:rsid w:val="3A133427"/>
    <w:rsid w:val="3A16675B"/>
    <w:rsid w:val="3A26457E"/>
    <w:rsid w:val="3B1E263F"/>
    <w:rsid w:val="3BB62D11"/>
    <w:rsid w:val="3BE504DB"/>
    <w:rsid w:val="3BF352A9"/>
    <w:rsid w:val="3BF43940"/>
    <w:rsid w:val="3BFF41C9"/>
    <w:rsid w:val="3C1D2B00"/>
    <w:rsid w:val="3C4944FC"/>
    <w:rsid w:val="3CAB1C76"/>
    <w:rsid w:val="3D2F07E3"/>
    <w:rsid w:val="3D31661F"/>
    <w:rsid w:val="3E3603A2"/>
    <w:rsid w:val="3E4520F7"/>
    <w:rsid w:val="3E4536F5"/>
    <w:rsid w:val="3E61700D"/>
    <w:rsid w:val="3EB178FE"/>
    <w:rsid w:val="3EC3774B"/>
    <w:rsid w:val="3F512FA9"/>
    <w:rsid w:val="3F5555F8"/>
    <w:rsid w:val="3FD14851"/>
    <w:rsid w:val="40077B0C"/>
    <w:rsid w:val="401F2A17"/>
    <w:rsid w:val="404D1407"/>
    <w:rsid w:val="404E5510"/>
    <w:rsid w:val="405C7E57"/>
    <w:rsid w:val="406D13A6"/>
    <w:rsid w:val="4074334B"/>
    <w:rsid w:val="408D2000"/>
    <w:rsid w:val="40A94D1C"/>
    <w:rsid w:val="40DD1B34"/>
    <w:rsid w:val="40E21856"/>
    <w:rsid w:val="4118107E"/>
    <w:rsid w:val="421B6FDC"/>
    <w:rsid w:val="425B1151"/>
    <w:rsid w:val="429A10CE"/>
    <w:rsid w:val="42AE4D6A"/>
    <w:rsid w:val="42BC2E2F"/>
    <w:rsid w:val="42CA554C"/>
    <w:rsid w:val="43155919"/>
    <w:rsid w:val="431E77B5"/>
    <w:rsid w:val="43C039AB"/>
    <w:rsid w:val="44097C1C"/>
    <w:rsid w:val="446E63AB"/>
    <w:rsid w:val="44903437"/>
    <w:rsid w:val="45850873"/>
    <w:rsid w:val="45A86BB2"/>
    <w:rsid w:val="46661B51"/>
    <w:rsid w:val="46A16AD4"/>
    <w:rsid w:val="46BB40A8"/>
    <w:rsid w:val="47413903"/>
    <w:rsid w:val="4773401C"/>
    <w:rsid w:val="479211E1"/>
    <w:rsid w:val="47926C3C"/>
    <w:rsid w:val="47AA5044"/>
    <w:rsid w:val="47AF7A66"/>
    <w:rsid w:val="47F3064A"/>
    <w:rsid w:val="48120B1B"/>
    <w:rsid w:val="484B1829"/>
    <w:rsid w:val="48A9745F"/>
    <w:rsid w:val="48CB3DCC"/>
    <w:rsid w:val="4907292A"/>
    <w:rsid w:val="490E26A8"/>
    <w:rsid w:val="491A545E"/>
    <w:rsid w:val="496F29A9"/>
    <w:rsid w:val="49FD3A37"/>
    <w:rsid w:val="4A5B1180"/>
    <w:rsid w:val="4A8F0E29"/>
    <w:rsid w:val="4AA8373B"/>
    <w:rsid w:val="4AF40A80"/>
    <w:rsid w:val="4B0D0208"/>
    <w:rsid w:val="4B1155A0"/>
    <w:rsid w:val="4B182BCD"/>
    <w:rsid w:val="4B3B1E75"/>
    <w:rsid w:val="4BD9546D"/>
    <w:rsid w:val="4C266EE1"/>
    <w:rsid w:val="4C7363EE"/>
    <w:rsid w:val="4C9D4266"/>
    <w:rsid w:val="4D1D520A"/>
    <w:rsid w:val="4D396031"/>
    <w:rsid w:val="4DAB66CE"/>
    <w:rsid w:val="4E104BDE"/>
    <w:rsid w:val="4E252533"/>
    <w:rsid w:val="4E7D7917"/>
    <w:rsid w:val="4EBC7D13"/>
    <w:rsid w:val="4F126575"/>
    <w:rsid w:val="4F251B9C"/>
    <w:rsid w:val="4F3965D4"/>
    <w:rsid w:val="4F7C5773"/>
    <w:rsid w:val="4F8E4565"/>
    <w:rsid w:val="4FAE3B00"/>
    <w:rsid w:val="502867F2"/>
    <w:rsid w:val="503E2BE0"/>
    <w:rsid w:val="50456141"/>
    <w:rsid w:val="505F0955"/>
    <w:rsid w:val="5066658A"/>
    <w:rsid w:val="50C21574"/>
    <w:rsid w:val="510B004C"/>
    <w:rsid w:val="51362AEF"/>
    <w:rsid w:val="518B66FF"/>
    <w:rsid w:val="51940274"/>
    <w:rsid w:val="51BE6A78"/>
    <w:rsid w:val="51DA6E2E"/>
    <w:rsid w:val="51DB3C59"/>
    <w:rsid w:val="51EF5ED5"/>
    <w:rsid w:val="51F916C3"/>
    <w:rsid w:val="521A1920"/>
    <w:rsid w:val="521F73B4"/>
    <w:rsid w:val="52827581"/>
    <w:rsid w:val="531719BC"/>
    <w:rsid w:val="53187C0F"/>
    <w:rsid w:val="533646AD"/>
    <w:rsid w:val="533B6594"/>
    <w:rsid w:val="535503C7"/>
    <w:rsid w:val="53967073"/>
    <w:rsid w:val="53E41F1B"/>
    <w:rsid w:val="541B4B91"/>
    <w:rsid w:val="551B5DF9"/>
    <w:rsid w:val="55600A99"/>
    <w:rsid w:val="55A5225D"/>
    <w:rsid w:val="55C45E2B"/>
    <w:rsid w:val="563520D3"/>
    <w:rsid w:val="564B7CA0"/>
    <w:rsid w:val="56585F69"/>
    <w:rsid w:val="56662E4C"/>
    <w:rsid w:val="56A6728E"/>
    <w:rsid w:val="56A92AD7"/>
    <w:rsid w:val="56DB5A3C"/>
    <w:rsid w:val="56E56F23"/>
    <w:rsid w:val="56EF512A"/>
    <w:rsid w:val="56FE7E12"/>
    <w:rsid w:val="573530B6"/>
    <w:rsid w:val="573639DC"/>
    <w:rsid w:val="57E519DB"/>
    <w:rsid w:val="57E9247C"/>
    <w:rsid w:val="5807624E"/>
    <w:rsid w:val="5894403E"/>
    <w:rsid w:val="589A00EE"/>
    <w:rsid w:val="592419EA"/>
    <w:rsid w:val="59364E21"/>
    <w:rsid w:val="59470B54"/>
    <w:rsid w:val="59A0270B"/>
    <w:rsid w:val="59B72BEF"/>
    <w:rsid w:val="59ED695C"/>
    <w:rsid w:val="5A1C23A0"/>
    <w:rsid w:val="5A1F77ED"/>
    <w:rsid w:val="5A230B9F"/>
    <w:rsid w:val="5A587B11"/>
    <w:rsid w:val="5A906085"/>
    <w:rsid w:val="5ABF48AE"/>
    <w:rsid w:val="5B280B1F"/>
    <w:rsid w:val="5C1B42CB"/>
    <w:rsid w:val="5C474130"/>
    <w:rsid w:val="5C510F06"/>
    <w:rsid w:val="5CC37945"/>
    <w:rsid w:val="5CC55041"/>
    <w:rsid w:val="5D0E43A4"/>
    <w:rsid w:val="5D4B0367"/>
    <w:rsid w:val="5D7B386B"/>
    <w:rsid w:val="5DEF7A3F"/>
    <w:rsid w:val="5E1610CB"/>
    <w:rsid w:val="5E382C63"/>
    <w:rsid w:val="5E451AD3"/>
    <w:rsid w:val="5E4C54CC"/>
    <w:rsid w:val="5EAC1B52"/>
    <w:rsid w:val="5EC83561"/>
    <w:rsid w:val="5ED11578"/>
    <w:rsid w:val="5EDF3DA7"/>
    <w:rsid w:val="5F0268FF"/>
    <w:rsid w:val="5F4D6E91"/>
    <w:rsid w:val="5F96442C"/>
    <w:rsid w:val="5FC71832"/>
    <w:rsid w:val="5FF40428"/>
    <w:rsid w:val="604715B5"/>
    <w:rsid w:val="606F6073"/>
    <w:rsid w:val="60AD4FAB"/>
    <w:rsid w:val="60BF4EB3"/>
    <w:rsid w:val="61014567"/>
    <w:rsid w:val="61D75138"/>
    <w:rsid w:val="62036170"/>
    <w:rsid w:val="62406740"/>
    <w:rsid w:val="62411450"/>
    <w:rsid w:val="625E018B"/>
    <w:rsid w:val="6273306C"/>
    <w:rsid w:val="627816F7"/>
    <w:rsid w:val="62AD0FB3"/>
    <w:rsid w:val="62B60A7E"/>
    <w:rsid w:val="62D52D32"/>
    <w:rsid w:val="62FB0114"/>
    <w:rsid w:val="637169CC"/>
    <w:rsid w:val="63805977"/>
    <w:rsid w:val="63A02FD2"/>
    <w:rsid w:val="647877ED"/>
    <w:rsid w:val="647B11BA"/>
    <w:rsid w:val="64B80B69"/>
    <w:rsid w:val="654A4F1D"/>
    <w:rsid w:val="659E5E1D"/>
    <w:rsid w:val="65DA26DD"/>
    <w:rsid w:val="66064ECD"/>
    <w:rsid w:val="660A6B0D"/>
    <w:rsid w:val="660E4EA0"/>
    <w:rsid w:val="66493C87"/>
    <w:rsid w:val="66DC3E62"/>
    <w:rsid w:val="671D263E"/>
    <w:rsid w:val="673F665E"/>
    <w:rsid w:val="676A7F34"/>
    <w:rsid w:val="67C33151"/>
    <w:rsid w:val="67D5797E"/>
    <w:rsid w:val="67FA4C4C"/>
    <w:rsid w:val="68116E94"/>
    <w:rsid w:val="68307BE6"/>
    <w:rsid w:val="68416ED5"/>
    <w:rsid w:val="68520D40"/>
    <w:rsid w:val="68564D76"/>
    <w:rsid w:val="6865349E"/>
    <w:rsid w:val="686C7217"/>
    <w:rsid w:val="68BA1D16"/>
    <w:rsid w:val="68EA65A3"/>
    <w:rsid w:val="690C1BC8"/>
    <w:rsid w:val="692F5C84"/>
    <w:rsid w:val="69474951"/>
    <w:rsid w:val="69E262E6"/>
    <w:rsid w:val="6AE901F4"/>
    <w:rsid w:val="6B57098D"/>
    <w:rsid w:val="6B6B2AA8"/>
    <w:rsid w:val="6B733C43"/>
    <w:rsid w:val="6B7E6624"/>
    <w:rsid w:val="6BB24174"/>
    <w:rsid w:val="6BBF3775"/>
    <w:rsid w:val="6BC56893"/>
    <w:rsid w:val="6BF07800"/>
    <w:rsid w:val="6C490490"/>
    <w:rsid w:val="6C942417"/>
    <w:rsid w:val="6CC41C60"/>
    <w:rsid w:val="6CD139A1"/>
    <w:rsid w:val="6D6C33D8"/>
    <w:rsid w:val="6DC20E47"/>
    <w:rsid w:val="6DC77DD9"/>
    <w:rsid w:val="6DEF5662"/>
    <w:rsid w:val="6E1D210B"/>
    <w:rsid w:val="6E1E75B4"/>
    <w:rsid w:val="6E563CA2"/>
    <w:rsid w:val="6E5F3F44"/>
    <w:rsid w:val="6EA063D8"/>
    <w:rsid w:val="6EDE7B06"/>
    <w:rsid w:val="6EEE63C4"/>
    <w:rsid w:val="6F086D01"/>
    <w:rsid w:val="6F2C4671"/>
    <w:rsid w:val="6F602892"/>
    <w:rsid w:val="6F75328C"/>
    <w:rsid w:val="6F924D32"/>
    <w:rsid w:val="6FB97C2B"/>
    <w:rsid w:val="6FD139BB"/>
    <w:rsid w:val="70332C51"/>
    <w:rsid w:val="708C533F"/>
    <w:rsid w:val="70DE646A"/>
    <w:rsid w:val="70F8506A"/>
    <w:rsid w:val="70FB4794"/>
    <w:rsid w:val="71296F3C"/>
    <w:rsid w:val="71B85B3B"/>
    <w:rsid w:val="71CA6CA5"/>
    <w:rsid w:val="71D134CF"/>
    <w:rsid w:val="71E80C9B"/>
    <w:rsid w:val="72404633"/>
    <w:rsid w:val="72A7020D"/>
    <w:rsid w:val="72B50B7E"/>
    <w:rsid w:val="72BF7AC6"/>
    <w:rsid w:val="730D6C0C"/>
    <w:rsid w:val="73464894"/>
    <w:rsid w:val="73BB736B"/>
    <w:rsid w:val="73D51CCA"/>
    <w:rsid w:val="743E0841"/>
    <w:rsid w:val="74493C73"/>
    <w:rsid w:val="745E3BF1"/>
    <w:rsid w:val="749D7E90"/>
    <w:rsid w:val="74A0243F"/>
    <w:rsid w:val="74B12008"/>
    <w:rsid w:val="74CE254E"/>
    <w:rsid w:val="75144232"/>
    <w:rsid w:val="753676E6"/>
    <w:rsid w:val="758D5DE2"/>
    <w:rsid w:val="75942D21"/>
    <w:rsid w:val="75992FF0"/>
    <w:rsid w:val="75B07CB5"/>
    <w:rsid w:val="75C60228"/>
    <w:rsid w:val="761D15AC"/>
    <w:rsid w:val="762E0AA9"/>
    <w:rsid w:val="76C634CB"/>
    <w:rsid w:val="76F6731A"/>
    <w:rsid w:val="774C75D7"/>
    <w:rsid w:val="776814E2"/>
    <w:rsid w:val="78646965"/>
    <w:rsid w:val="786F7011"/>
    <w:rsid w:val="78C23FF4"/>
    <w:rsid w:val="79256331"/>
    <w:rsid w:val="796432FD"/>
    <w:rsid w:val="79AB2CDA"/>
    <w:rsid w:val="79DE070F"/>
    <w:rsid w:val="79F550C2"/>
    <w:rsid w:val="7A216BB2"/>
    <w:rsid w:val="7A5D7B29"/>
    <w:rsid w:val="7A77732E"/>
    <w:rsid w:val="7A906FBD"/>
    <w:rsid w:val="7AF14D11"/>
    <w:rsid w:val="7B034BB8"/>
    <w:rsid w:val="7B225BCC"/>
    <w:rsid w:val="7B2C0E24"/>
    <w:rsid w:val="7B8C0562"/>
    <w:rsid w:val="7BB229A1"/>
    <w:rsid w:val="7BC92456"/>
    <w:rsid w:val="7C0873C2"/>
    <w:rsid w:val="7CA91F2B"/>
    <w:rsid w:val="7D002024"/>
    <w:rsid w:val="7D4776B6"/>
    <w:rsid w:val="7D5D42EC"/>
    <w:rsid w:val="7D776176"/>
    <w:rsid w:val="7E092BA1"/>
    <w:rsid w:val="7EBA5F0F"/>
    <w:rsid w:val="7EEC5B5B"/>
    <w:rsid w:val="7F2463EB"/>
    <w:rsid w:val="7F256F5F"/>
    <w:rsid w:val="7F7471EB"/>
    <w:rsid w:val="7FB95797"/>
    <w:rsid w:val="7FEA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qFormat="1" w:uiPriority="39" w:semiHidden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6"/>
    <w:semiHidden/>
    <w:unhideWhenUsed/>
    <w:qFormat/>
    <w:uiPriority w:val="99"/>
    <w:pPr>
      <w:widowControl/>
      <w:jc w:val="left"/>
    </w:pPr>
  </w:style>
  <w:style w:type="paragraph" w:styleId="7">
    <w:name w:val="Body Text"/>
    <w:basedOn w:val="1"/>
    <w:next w:val="8"/>
    <w:qFormat/>
    <w:uiPriority w:val="0"/>
    <w:pPr>
      <w:widowControl/>
      <w:spacing w:line="360" w:lineRule="auto"/>
      <w:ind w:firstLine="554" w:firstLineChars="200"/>
    </w:pPr>
    <w:rPr>
      <w:rFonts w:ascii="仿宋_GB2312" w:eastAsia="仿宋_GB2312"/>
      <w:spacing w:val="-3"/>
      <w:sz w:val="28"/>
      <w:szCs w:val="28"/>
    </w:rPr>
  </w:style>
  <w:style w:type="paragraph" w:styleId="8">
    <w:name w:val="Body Text First Indent"/>
    <w:basedOn w:val="7"/>
    <w:next w:val="9"/>
    <w:unhideWhenUsed/>
    <w:qFormat/>
    <w:uiPriority w:val="99"/>
    <w:pPr>
      <w:ind w:firstLine="420" w:firstLineChars="100"/>
    </w:pPr>
  </w:style>
  <w:style w:type="paragraph" w:styleId="9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0">
    <w:name w:val="Body Text Indent"/>
    <w:basedOn w:val="1"/>
    <w:unhideWhenUsed/>
    <w:qFormat/>
    <w:uiPriority w:val="99"/>
    <w:pPr>
      <w:ind w:left="420" w:leftChars="200"/>
    </w:pPr>
  </w:style>
  <w:style w:type="paragraph" w:styleId="11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2">
    <w:name w:val="Body Text Indent 2"/>
    <w:basedOn w:val="1"/>
    <w:qFormat/>
    <w:uiPriority w:val="0"/>
    <w:pPr>
      <w:widowControl/>
      <w:ind w:firstLine="562" w:firstLineChars="200"/>
      <w:jc w:val="left"/>
    </w:pPr>
    <w:rPr>
      <w:b/>
      <w:bCs/>
      <w:sz w:val="28"/>
      <w:szCs w:val="24"/>
    </w:rPr>
  </w:style>
  <w:style w:type="paragraph" w:styleId="13">
    <w:name w:val="Balloon Text"/>
    <w:basedOn w:val="1"/>
    <w:link w:val="31"/>
    <w:semiHidden/>
    <w:unhideWhenUsed/>
    <w:qFormat/>
    <w:uiPriority w:val="0"/>
    <w:rPr>
      <w:sz w:val="18"/>
      <w:szCs w:val="18"/>
    </w:rPr>
  </w:style>
  <w:style w:type="paragraph" w:styleId="14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7">
    <w:name w:val="annotation subject"/>
    <w:basedOn w:val="6"/>
    <w:next w:val="6"/>
    <w:link w:val="37"/>
    <w:semiHidden/>
    <w:unhideWhenUsed/>
    <w:qFormat/>
    <w:uiPriority w:val="0"/>
    <w:pPr>
      <w:widowControl w:val="0"/>
    </w:pPr>
    <w:rPr>
      <w:b/>
      <w:bCs/>
    </w:rPr>
  </w:style>
  <w:style w:type="paragraph" w:styleId="18">
    <w:name w:val="Body Text First Indent 2"/>
    <w:basedOn w:val="10"/>
    <w:next w:val="7"/>
    <w:unhideWhenUsed/>
    <w:qFormat/>
    <w:uiPriority w:val="99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Hyperlink"/>
    <w:basedOn w:val="21"/>
    <w:semiHidden/>
    <w:unhideWhenUsed/>
    <w:qFormat/>
    <w:uiPriority w:val="0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0"/>
    <w:rPr>
      <w:sz w:val="21"/>
      <w:szCs w:val="21"/>
    </w:rPr>
  </w:style>
  <w:style w:type="paragraph" w:customStyle="1" w:styleId="25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customStyle="1" w:styleId="26">
    <w:name w:val="样式1"/>
    <w:basedOn w:val="1"/>
    <w:qFormat/>
    <w:uiPriority w:val="0"/>
    <w:pPr>
      <w:spacing w:line="600" w:lineRule="exact"/>
      <w:ind w:firstLine="200" w:firstLineChars="200"/>
    </w:pPr>
    <w:rPr>
      <w:rFonts w:eastAsia="方正仿宋简体"/>
      <w:bCs/>
      <w:snapToGrid w:val="0"/>
      <w:kern w:val="0"/>
      <w:sz w:val="32"/>
      <w:szCs w:val="32"/>
    </w:rPr>
  </w:style>
  <w:style w:type="paragraph" w:customStyle="1" w:styleId="27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页眉 Char"/>
    <w:basedOn w:val="21"/>
    <w:link w:val="15"/>
    <w:qFormat/>
    <w:uiPriority w:val="0"/>
    <w:rPr>
      <w:kern w:val="2"/>
      <w:sz w:val="18"/>
      <w:szCs w:val="18"/>
    </w:rPr>
  </w:style>
  <w:style w:type="character" w:customStyle="1" w:styleId="30">
    <w:name w:val="页脚 Char"/>
    <w:basedOn w:val="21"/>
    <w:link w:val="14"/>
    <w:qFormat/>
    <w:uiPriority w:val="99"/>
    <w:rPr>
      <w:kern w:val="2"/>
      <w:sz w:val="18"/>
      <w:szCs w:val="18"/>
    </w:rPr>
  </w:style>
  <w:style w:type="character" w:customStyle="1" w:styleId="31">
    <w:name w:val="批注框文本 Char"/>
    <w:basedOn w:val="21"/>
    <w:link w:val="13"/>
    <w:semiHidden/>
    <w:qFormat/>
    <w:uiPriority w:val="0"/>
    <w:rPr>
      <w:kern w:val="2"/>
      <w:sz w:val="18"/>
      <w:szCs w:val="18"/>
    </w:rPr>
  </w:style>
  <w:style w:type="paragraph" w:customStyle="1" w:styleId="32">
    <w:name w:val="样式6"/>
    <w:basedOn w:val="1"/>
    <w:qFormat/>
    <w:uiPriority w:val="0"/>
    <w:pPr>
      <w:ind w:firstLine="562"/>
    </w:pPr>
    <w:rPr>
      <w:rFonts w:cs="宋体"/>
      <w:kern w:val="0"/>
    </w:rPr>
  </w:style>
  <w:style w:type="paragraph" w:customStyle="1" w:styleId="3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6">
    <w:name w:val="批注文字 Char"/>
    <w:basedOn w:val="21"/>
    <w:link w:val="6"/>
    <w:semiHidden/>
    <w:qFormat/>
    <w:uiPriority w:val="99"/>
    <w:rPr>
      <w:kern w:val="2"/>
      <w:sz w:val="21"/>
    </w:rPr>
  </w:style>
  <w:style w:type="character" w:customStyle="1" w:styleId="37">
    <w:name w:val="批注主题 Char"/>
    <w:basedOn w:val="36"/>
    <w:link w:val="17"/>
    <w:semiHidden/>
    <w:qFormat/>
    <w:uiPriority w:val="0"/>
    <w:rPr>
      <w:b/>
      <w:bCs/>
      <w:kern w:val="2"/>
      <w:sz w:val="21"/>
    </w:rPr>
  </w:style>
  <w:style w:type="character" w:customStyle="1" w:styleId="38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39">
    <w:name w:val="font21"/>
    <w:basedOn w:val="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0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1">
    <w:name w:val="font1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51"/>
    <w:basedOn w:val="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3">
    <w:name w:val="font6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4">
    <w:name w:val="font0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5">
    <w:name w:val="font81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1323</Words>
  <Characters>1992</Characters>
  <Lines>236</Lines>
  <Paragraphs>66</Paragraphs>
  <TotalTime>0</TotalTime>
  <ScaleCrop>false</ScaleCrop>
  <LinksUpToDate>false</LinksUpToDate>
  <CharactersWithSpaces>2097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2025-02-17T08:58:00Z</dcterms:created>
  <dc:creator>保尔</dc:creator>
  <cp:lastModifiedBy>wyg</cp:lastModifiedBy>
  <dcterms:modified xsi:type="dcterms:W3CDTF">2026-06-18T00:46:49Z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B01F57C92B8B46D1A617C60CB5E21FC7_13</vt:lpwstr>
  </property>
  <property fmtid="{D5CDD505-2E9C-101B-9397-08002B2CF9AE}" pid="4" name="KSOTemplateDocerSaveRecord">
    <vt:lpwstr>eyJoZGlkIjoiZmVhNzkxZjQ0MWJjOTVmNjE1Y2I3ZmViYjFkNjNiNzMiLCJ1c2VySWQiOiIyNTIzMDM1MzIifQ==</vt:lpwstr>
  </property>
</Properties>
</file>