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53463">
      <w:pPr>
        <w:widowControl/>
        <w:shd w:val="clear" w:color="auto" w:fill="FFFFFF"/>
        <w:spacing w:before="240" w:after="240" w:line="600" w:lineRule="atLeast"/>
        <w:ind w:firstLine="555"/>
        <w:jc w:val="left"/>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根据《浙江省科学技术厅关于开展2025年度浙江省科学技术奖提名工作的通知》要求，现将我单位提名项目予以公示。</w:t>
      </w:r>
    </w:p>
    <w:p w14:paraId="7FF65EF4">
      <w:pPr>
        <w:widowControl/>
        <w:shd w:val="clear" w:color="auto" w:fill="FFFFFF"/>
        <w:spacing w:before="240" w:after="240" w:line="600" w:lineRule="atLeast"/>
        <w:ind w:firstLine="555"/>
        <w:jc w:val="left"/>
        <w:rPr>
          <w:rFonts w:ascii="Arial" w:hAnsi="Arial" w:cs="Arial"/>
          <w:color w:val="333333"/>
          <w:kern w:val="0"/>
          <w:szCs w:val="21"/>
        </w:rPr>
      </w:pPr>
      <w:r>
        <w:rPr>
          <w:rFonts w:hint="eastAsia" w:ascii="仿宋_GB2312" w:hAnsi="Arial" w:eastAsia="仿宋_GB2312" w:cs="Arial"/>
          <w:color w:val="333333"/>
          <w:kern w:val="0"/>
          <w:sz w:val="32"/>
          <w:szCs w:val="32"/>
          <w:shd w:val="clear" w:color="auto" w:fill="FFFFFF"/>
        </w:rPr>
        <w:t>公示时间：20</w:t>
      </w:r>
      <w:r>
        <w:rPr>
          <w:rFonts w:hint="eastAsia" w:ascii="仿宋_GB2312" w:hAnsi="Arial" w:eastAsia="仿宋_GB2312" w:cs="Arial"/>
          <w:color w:val="333333"/>
          <w:kern w:val="0"/>
          <w:sz w:val="32"/>
          <w:szCs w:val="32"/>
          <w:shd w:val="clear" w:color="auto" w:fill="FFFFFF"/>
        </w:rPr>
        <w:t>26</w:t>
      </w:r>
      <w:r>
        <w:rPr>
          <w:rFonts w:hint="eastAsia" w:ascii="仿宋_GB2312" w:hAnsi="Arial" w:eastAsia="仿宋_GB2312" w:cs="Arial"/>
          <w:color w:val="333333"/>
          <w:kern w:val="0"/>
          <w:sz w:val="32"/>
          <w:szCs w:val="32"/>
          <w:shd w:val="clear" w:color="auto" w:fill="FFFFFF"/>
        </w:rPr>
        <w:t>年</w:t>
      </w:r>
      <w:r>
        <w:rPr>
          <w:rFonts w:hint="eastAsia" w:ascii="仿宋_GB2312" w:hAnsi="Arial" w:eastAsia="仿宋_GB2312" w:cs="Arial"/>
          <w:color w:val="333333"/>
          <w:kern w:val="0"/>
          <w:sz w:val="32"/>
          <w:szCs w:val="32"/>
          <w:shd w:val="clear" w:color="auto" w:fill="FFFFFF"/>
        </w:rPr>
        <w:t>6</w:t>
      </w:r>
      <w:r>
        <w:rPr>
          <w:rFonts w:hint="eastAsia" w:ascii="仿宋_GB2312" w:hAnsi="Arial" w:eastAsia="仿宋_GB2312" w:cs="Arial"/>
          <w:color w:val="333333"/>
          <w:kern w:val="0"/>
          <w:sz w:val="32"/>
          <w:szCs w:val="32"/>
          <w:shd w:val="clear" w:color="auto" w:fill="FFFFFF"/>
        </w:rPr>
        <w:t>月</w:t>
      </w:r>
      <w:r>
        <w:rPr>
          <w:rFonts w:hint="eastAsia" w:ascii="仿宋_GB2312" w:hAnsi="Arial" w:eastAsia="仿宋_GB2312" w:cs="Arial"/>
          <w:color w:val="333333"/>
          <w:kern w:val="0"/>
          <w:sz w:val="32"/>
          <w:szCs w:val="32"/>
          <w:shd w:val="clear" w:color="auto" w:fill="FFFFFF"/>
        </w:rPr>
        <w:t>X</w:t>
      </w:r>
      <w:r>
        <w:rPr>
          <w:rFonts w:ascii="仿宋_GB2312" w:hAnsi="Arial" w:eastAsia="仿宋_GB2312" w:cs="Arial"/>
          <w:color w:val="333333"/>
          <w:kern w:val="0"/>
          <w:sz w:val="32"/>
          <w:szCs w:val="32"/>
          <w:shd w:val="clear" w:color="auto" w:fill="FFFFFF"/>
        </w:rPr>
        <w:t>X</w:t>
      </w:r>
      <w:r>
        <w:rPr>
          <w:rFonts w:hint="eastAsia" w:ascii="仿宋_GB2312" w:hAnsi="Arial" w:eastAsia="仿宋_GB2312" w:cs="Arial"/>
          <w:color w:val="333333"/>
          <w:kern w:val="0"/>
          <w:sz w:val="32"/>
          <w:szCs w:val="32"/>
          <w:shd w:val="clear" w:color="auto" w:fill="FFFFFF"/>
        </w:rPr>
        <w:t>日-202</w:t>
      </w:r>
      <w:r>
        <w:rPr>
          <w:rFonts w:hint="eastAsia" w:ascii="仿宋_GB2312" w:hAnsi="Arial" w:eastAsia="仿宋_GB2312" w:cs="Arial"/>
          <w:color w:val="333333"/>
          <w:kern w:val="0"/>
          <w:sz w:val="32"/>
          <w:szCs w:val="32"/>
          <w:shd w:val="clear" w:color="auto" w:fill="FFFFFF"/>
        </w:rPr>
        <w:t>6</w:t>
      </w:r>
      <w:r>
        <w:rPr>
          <w:rFonts w:hint="eastAsia" w:ascii="仿宋_GB2312" w:hAnsi="Arial" w:eastAsia="仿宋_GB2312" w:cs="Arial"/>
          <w:color w:val="333333"/>
          <w:kern w:val="0"/>
          <w:sz w:val="32"/>
          <w:szCs w:val="32"/>
          <w:shd w:val="clear" w:color="auto" w:fill="FFFFFF"/>
        </w:rPr>
        <w:t>年</w:t>
      </w:r>
      <w:r>
        <w:rPr>
          <w:rFonts w:hint="eastAsia" w:ascii="仿宋_GB2312" w:hAnsi="Arial" w:eastAsia="仿宋_GB2312" w:cs="Arial"/>
          <w:color w:val="333333"/>
          <w:kern w:val="0"/>
          <w:sz w:val="32"/>
          <w:szCs w:val="32"/>
          <w:shd w:val="clear" w:color="auto" w:fill="FFFFFF"/>
        </w:rPr>
        <w:t>6</w:t>
      </w:r>
      <w:r>
        <w:rPr>
          <w:rFonts w:hint="eastAsia" w:ascii="仿宋_GB2312" w:hAnsi="Arial" w:eastAsia="仿宋_GB2312" w:cs="Arial"/>
          <w:color w:val="333333"/>
          <w:kern w:val="0"/>
          <w:sz w:val="32"/>
          <w:szCs w:val="32"/>
          <w:shd w:val="clear" w:color="auto" w:fill="FFFFFF"/>
        </w:rPr>
        <w:t>月</w:t>
      </w:r>
      <w:r>
        <w:rPr>
          <w:rFonts w:ascii="仿宋_GB2312" w:hAnsi="Arial" w:eastAsia="仿宋_GB2312" w:cs="Arial"/>
          <w:color w:val="333333"/>
          <w:kern w:val="0"/>
          <w:sz w:val="32"/>
          <w:szCs w:val="32"/>
          <w:shd w:val="clear" w:color="auto" w:fill="FFFFFF"/>
        </w:rPr>
        <w:t>XX</w:t>
      </w:r>
      <w:r>
        <w:rPr>
          <w:rFonts w:hint="eastAsia" w:ascii="仿宋_GB2312" w:hAnsi="Arial" w:eastAsia="仿宋_GB2312" w:cs="Arial"/>
          <w:color w:val="333333"/>
          <w:kern w:val="0"/>
          <w:sz w:val="32"/>
          <w:szCs w:val="32"/>
          <w:shd w:val="clear" w:color="auto" w:fill="FFFFFF"/>
        </w:rPr>
        <w:t>日。</w:t>
      </w:r>
    </w:p>
    <w:p w14:paraId="29A5ACE1">
      <w:pPr>
        <w:widowControl/>
        <w:shd w:val="clear" w:color="auto" w:fill="FFFFFF"/>
        <w:spacing w:before="240" w:after="240" w:line="600" w:lineRule="atLeast"/>
        <w:ind w:firstLine="555"/>
        <w:jc w:val="left"/>
        <w:rPr>
          <w:rFonts w:ascii="仿宋_GB2312" w:hAnsi="Arial" w:eastAsia="仿宋_GB2312" w:cs="Arial"/>
          <w:color w:val="333333"/>
          <w:kern w:val="0"/>
          <w:sz w:val="32"/>
          <w:szCs w:val="32"/>
          <w:shd w:val="clear" w:color="auto" w:fill="FFFFFF"/>
        </w:rPr>
      </w:pPr>
      <w:r>
        <w:rPr>
          <w:rFonts w:hint="eastAsia" w:ascii="仿宋_GB2312" w:hAnsi="Arial" w:eastAsia="仿宋_GB2312" w:cs="Arial"/>
          <w:color w:val="333333"/>
          <w:kern w:val="0"/>
          <w:sz w:val="32"/>
          <w:szCs w:val="32"/>
          <w:shd w:val="clear" w:color="auto" w:fill="FFFFFF"/>
        </w:rPr>
        <w:t>对公布的成果、候选人持有异议的，在公示期内，应当以真实身份书面向科研院提出。个人提出异议的，应当在异议材料上签署真实姓名和联系电话、地址；以单位名义提出异议的，应当加盖本单位公章。为方便核实、查证，保证实事求是、公正处理，匿名异议不予受理。学校将按规定对异议者身份予以保护</w:t>
      </w:r>
      <w:r>
        <w:rPr>
          <w:rFonts w:hint="eastAsia" w:ascii="仿宋_GB2312" w:hAnsi="Arial" w:eastAsia="仿宋_GB2312" w:cs="Arial"/>
          <w:color w:val="333333"/>
          <w:kern w:val="0"/>
          <w:sz w:val="32"/>
          <w:szCs w:val="32"/>
          <w:shd w:val="clear" w:color="auto" w:fill="FFFFFF"/>
        </w:rPr>
        <w:t>。</w:t>
      </w:r>
    </w:p>
    <w:p w14:paraId="53E5FF7D">
      <w:pPr>
        <w:widowControl/>
        <w:shd w:val="clear" w:color="auto" w:fill="FFFFFF"/>
        <w:spacing w:before="240" w:after="240" w:line="600" w:lineRule="atLeast"/>
        <w:ind w:firstLine="555"/>
        <w:jc w:val="left"/>
        <w:rPr>
          <w:rFonts w:ascii="仿宋_GB2312" w:hAnsi="Arial" w:eastAsia="仿宋_GB2312" w:cs="Arial"/>
          <w:color w:val="333333"/>
          <w:kern w:val="0"/>
          <w:sz w:val="32"/>
          <w:szCs w:val="32"/>
          <w:shd w:val="clear" w:color="auto" w:fill="FFFFFF"/>
        </w:rPr>
      </w:pPr>
      <w:r>
        <w:rPr>
          <w:rFonts w:hint="eastAsia" w:ascii="仿宋_GB2312" w:hAnsi="Arial" w:eastAsia="仿宋_GB2312" w:cs="Arial"/>
          <w:color w:val="333333"/>
          <w:kern w:val="0"/>
          <w:sz w:val="32"/>
          <w:szCs w:val="32"/>
          <w:shd w:val="clear" w:color="auto" w:fill="FFFFFF"/>
        </w:rPr>
        <w:t>未经允许，不得转载，违者追究相关责任。</w:t>
      </w:r>
    </w:p>
    <w:p w14:paraId="398750C0">
      <w:pPr>
        <w:widowControl/>
        <w:shd w:val="clear" w:color="auto" w:fill="FFFFFF"/>
        <w:spacing w:before="240" w:after="240" w:line="600" w:lineRule="atLeast"/>
        <w:ind w:firstLine="555"/>
        <w:jc w:val="left"/>
        <w:rPr>
          <w:rFonts w:ascii="Arial" w:hAnsi="Arial" w:cs="Arial"/>
          <w:color w:val="333333"/>
          <w:kern w:val="0"/>
          <w:szCs w:val="21"/>
        </w:rPr>
      </w:pPr>
      <w:r>
        <w:rPr>
          <w:rFonts w:hint="eastAsia" w:ascii="仿宋_GB2312" w:hAnsi="Arial" w:eastAsia="仿宋_GB2312" w:cs="Arial"/>
          <w:color w:val="333333"/>
          <w:kern w:val="0"/>
          <w:sz w:val="32"/>
          <w:szCs w:val="32"/>
        </w:rPr>
        <w:t>联系人：</w:t>
      </w:r>
      <w:r>
        <w:rPr>
          <w:rFonts w:ascii="Arial" w:hAnsi="Arial" w:cs="Arial"/>
          <w:color w:val="333333"/>
          <w:kern w:val="0"/>
          <w:szCs w:val="21"/>
        </w:rPr>
        <w:t xml:space="preserve"> </w:t>
      </w:r>
    </w:p>
    <w:p w14:paraId="1731B6A3">
      <w:pPr>
        <w:widowControl/>
        <w:shd w:val="clear" w:color="auto" w:fill="FFFFFF"/>
        <w:spacing w:before="240" w:after="240" w:line="600" w:lineRule="atLeast"/>
        <w:ind w:firstLine="555"/>
        <w:jc w:val="left"/>
        <w:rPr>
          <w:rFonts w:ascii="Arial" w:hAnsi="Arial" w:cs="Arial"/>
          <w:color w:val="333333"/>
          <w:kern w:val="0"/>
          <w:szCs w:val="21"/>
        </w:rPr>
      </w:pPr>
      <w:r>
        <w:rPr>
          <w:rFonts w:hint="eastAsia" w:ascii="仿宋_GB2312" w:hAnsi="Arial" w:eastAsia="仿宋_GB2312" w:cs="Arial"/>
          <w:color w:val="333333"/>
          <w:kern w:val="0"/>
          <w:sz w:val="32"/>
          <w:szCs w:val="32"/>
        </w:rPr>
        <w:t>联系电话：</w:t>
      </w:r>
    </w:p>
    <w:p w14:paraId="6938395E">
      <w:pPr>
        <w:widowControl/>
        <w:shd w:val="clear" w:color="auto" w:fill="FFFFFF"/>
        <w:spacing w:before="240" w:after="240" w:line="600" w:lineRule="atLeast"/>
        <w:ind w:firstLine="555"/>
        <w:jc w:val="left"/>
        <w:rPr>
          <w:rFonts w:ascii="Arial" w:hAnsi="Arial" w:cs="Arial"/>
          <w:color w:val="333333"/>
          <w:kern w:val="0"/>
          <w:szCs w:val="21"/>
        </w:rPr>
      </w:pPr>
      <w:r>
        <w:rPr>
          <w:rFonts w:hint="eastAsia" w:ascii="仿宋_GB2312" w:hAnsi="Arial" w:eastAsia="仿宋_GB2312" w:cs="Arial"/>
          <w:color w:val="333333"/>
          <w:kern w:val="0"/>
          <w:sz w:val="32"/>
          <w:szCs w:val="32"/>
        </w:rPr>
        <w:t>E-mail：</w:t>
      </w:r>
    </w:p>
    <w:p w14:paraId="5957D016">
      <w:pPr>
        <w:widowControl/>
        <w:jc w:val="left"/>
        <w:rPr>
          <w:rStyle w:val="36"/>
          <w:rFonts w:eastAsia="方正小标宋简体"/>
          <w:b w:val="0"/>
          <w:color w:val="auto"/>
          <w:sz w:val="36"/>
          <w:szCs w:val="36"/>
        </w:rPr>
      </w:pPr>
    </w:p>
    <w:p w14:paraId="6EE063F1">
      <w:pPr>
        <w:widowControl/>
        <w:jc w:val="left"/>
        <w:rPr>
          <w:rStyle w:val="36"/>
          <w:rFonts w:eastAsia="方正小标宋简体"/>
          <w:b w:val="0"/>
          <w:color w:val="auto"/>
          <w:sz w:val="36"/>
          <w:szCs w:val="36"/>
        </w:rPr>
      </w:pPr>
      <w:r>
        <w:rPr>
          <w:rStyle w:val="36"/>
          <w:rFonts w:eastAsia="方正小标宋简体"/>
          <w:b w:val="0"/>
          <w:color w:val="auto"/>
          <w:sz w:val="36"/>
          <w:szCs w:val="36"/>
        </w:rPr>
        <w:br w:type="page"/>
      </w:r>
    </w:p>
    <w:p w14:paraId="5FFBBF80">
      <w:pPr>
        <w:jc w:val="center"/>
        <w:rPr>
          <w:rStyle w:val="36"/>
          <w:rFonts w:eastAsia="方正小标宋简体"/>
          <w:bCs w:val="0"/>
          <w:color w:val="auto"/>
          <w:sz w:val="36"/>
          <w:szCs w:val="36"/>
        </w:rPr>
      </w:pPr>
      <w:r>
        <w:rPr>
          <w:rStyle w:val="36"/>
          <w:rFonts w:eastAsia="方正小标宋简体"/>
          <w:b w:val="0"/>
          <w:color w:val="auto"/>
          <w:sz w:val="36"/>
          <w:szCs w:val="36"/>
        </w:rPr>
        <w:t>浙江省科学技术奖公示信息表</w:t>
      </w:r>
      <w:r>
        <w:rPr>
          <w:rStyle w:val="36"/>
          <w:rFonts w:eastAsia="仿宋_GB2312"/>
          <w:b w:val="0"/>
          <w:color w:val="auto"/>
          <w:sz w:val="32"/>
          <w:szCs w:val="32"/>
        </w:rPr>
        <w:t>（</w:t>
      </w:r>
      <w:bookmarkStart w:id="0" w:name="_Hlk232491190"/>
      <w:r>
        <w:rPr>
          <w:rStyle w:val="36"/>
          <w:rFonts w:hint="eastAsia" w:eastAsia="仿宋_GB2312"/>
          <w:b w:val="0"/>
          <w:color w:val="auto"/>
          <w:sz w:val="32"/>
          <w:szCs w:val="32"/>
        </w:rPr>
        <w:t>专家</w:t>
      </w:r>
      <w:r>
        <w:rPr>
          <w:rStyle w:val="36"/>
          <w:rFonts w:hint="eastAsia" w:eastAsia="仿宋_GB2312"/>
          <w:b w:val="0"/>
          <w:color w:val="auto"/>
          <w:sz w:val="32"/>
          <w:szCs w:val="32"/>
        </w:rPr>
        <w:t>提名</w:t>
      </w:r>
      <w:bookmarkEnd w:id="0"/>
      <w:r>
        <w:rPr>
          <w:rStyle w:val="36"/>
          <w:rFonts w:eastAsia="仿宋_GB2312"/>
          <w:b w:val="0"/>
          <w:color w:val="auto"/>
          <w:sz w:val="32"/>
          <w:szCs w:val="32"/>
        </w:rPr>
        <w:t>）</w:t>
      </w:r>
    </w:p>
    <w:p w14:paraId="57EE7AFF">
      <w:pPr>
        <w:spacing w:line="440" w:lineRule="exact"/>
        <w:rPr>
          <w:rFonts w:eastAsia="仿宋_GB2312"/>
          <w:sz w:val="28"/>
          <w:szCs w:val="24"/>
        </w:rPr>
      </w:pPr>
      <w:r>
        <w:rPr>
          <w:rFonts w:eastAsia="仿宋_GB2312"/>
          <w:sz w:val="28"/>
          <w:szCs w:val="24"/>
        </w:rPr>
        <w:t>提名奖项：</w:t>
      </w:r>
      <w:r>
        <w:rPr>
          <w:rFonts w:hint="eastAsia" w:eastAsia="仿宋_GB2312"/>
          <w:sz w:val="28"/>
          <w:szCs w:val="24"/>
        </w:rPr>
        <w:t>自然科学奖</w:t>
      </w:r>
    </w:p>
    <w:tbl>
      <w:tblPr>
        <w:tblStyle w:val="21"/>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0FB3C6D5">
        <w:tblPrEx>
          <w:tblLayout w:type="fixed"/>
        </w:tblPrEx>
        <w:trPr>
          <w:trHeight w:val="647" w:hRule="atLeast"/>
        </w:trPr>
        <w:tc>
          <w:tcPr>
            <w:tcW w:w="2269" w:type="dxa"/>
            <w:vAlign w:val="center"/>
          </w:tcPr>
          <w:p w14:paraId="72F17F3F">
            <w:pPr>
              <w:jc w:val="center"/>
              <w:rPr>
                <w:rStyle w:val="36"/>
                <w:rFonts w:eastAsia="仿宋_GB2312"/>
                <w:b w:val="0"/>
                <w:color w:val="auto"/>
                <w:sz w:val="28"/>
              </w:rPr>
            </w:pPr>
            <w:r>
              <w:rPr>
                <w:rStyle w:val="36"/>
                <w:rFonts w:eastAsia="仿宋_GB2312"/>
                <w:b w:val="0"/>
                <w:bCs w:val="0"/>
                <w:color w:val="auto"/>
                <w:sz w:val="28"/>
              </w:rPr>
              <w:t>成果名称</w:t>
            </w:r>
          </w:p>
        </w:tc>
        <w:tc>
          <w:tcPr>
            <w:tcW w:w="6237" w:type="dxa"/>
            <w:vAlign w:val="center"/>
          </w:tcPr>
          <w:p w14:paraId="35AB8255">
            <w:pPr>
              <w:jc w:val="center"/>
              <w:rPr>
                <w:rStyle w:val="36"/>
                <w:rFonts w:eastAsia="仿宋_GB2312"/>
                <w:b w:val="0"/>
                <w:color w:val="auto"/>
                <w:sz w:val="28"/>
              </w:rPr>
            </w:pPr>
            <w:r>
              <w:rPr>
                <w:rStyle w:val="36"/>
                <w:rFonts w:hint="eastAsia" w:eastAsia="仿宋_GB2312"/>
                <w:b w:val="0"/>
                <w:color w:val="auto"/>
                <w:sz w:val="28"/>
              </w:rPr>
              <w:t>典型化学污染物的膳食暴露评估、内暴露表征与健康危害机理</w:t>
            </w:r>
          </w:p>
        </w:tc>
      </w:tr>
      <w:tr w14:paraId="140EB482">
        <w:tblPrEx>
          <w:tblLayout w:type="fixed"/>
        </w:tblPrEx>
        <w:trPr>
          <w:trHeight w:val="561" w:hRule="atLeast"/>
        </w:trPr>
        <w:tc>
          <w:tcPr>
            <w:tcW w:w="2269" w:type="dxa"/>
            <w:vAlign w:val="center"/>
          </w:tcPr>
          <w:p w14:paraId="7EDF8595">
            <w:pPr>
              <w:jc w:val="center"/>
              <w:rPr>
                <w:rStyle w:val="36"/>
                <w:rFonts w:eastAsia="仿宋_GB2312"/>
                <w:b w:val="0"/>
                <w:color w:val="auto"/>
                <w:sz w:val="28"/>
              </w:rPr>
            </w:pPr>
            <w:r>
              <w:rPr>
                <w:rStyle w:val="36"/>
                <w:rFonts w:eastAsia="仿宋_GB2312"/>
                <w:b w:val="0"/>
                <w:bCs w:val="0"/>
                <w:color w:val="auto"/>
                <w:sz w:val="28"/>
              </w:rPr>
              <w:t>提名等级</w:t>
            </w:r>
          </w:p>
        </w:tc>
        <w:tc>
          <w:tcPr>
            <w:tcW w:w="6237" w:type="dxa"/>
            <w:vAlign w:val="center"/>
          </w:tcPr>
          <w:p w14:paraId="6014ABC6">
            <w:pPr>
              <w:jc w:val="center"/>
              <w:rPr>
                <w:rStyle w:val="36"/>
                <w:rFonts w:eastAsia="仿宋_GB2312"/>
                <w:b w:val="0"/>
                <w:color w:val="auto"/>
                <w:sz w:val="28"/>
              </w:rPr>
            </w:pPr>
            <w:r>
              <w:rPr>
                <w:rStyle w:val="36"/>
                <w:rFonts w:hint="eastAsia" w:eastAsia="仿宋_GB2312"/>
                <w:b w:val="0"/>
                <w:color w:val="auto"/>
                <w:sz w:val="28"/>
              </w:rPr>
              <w:t>一等奖</w:t>
            </w:r>
          </w:p>
        </w:tc>
      </w:tr>
      <w:tr w14:paraId="147FCFEC">
        <w:tblPrEx>
          <w:tblLayout w:type="fixed"/>
        </w:tblPrEx>
        <w:trPr>
          <w:trHeight w:val="2461" w:hRule="atLeast"/>
        </w:trPr>
        <w:tc>
          <w:tcPr>
            <w:tcW w:w="2269" w:type="dxa"/>
            <w:vAlign w:val="center"/>
          </w:tcPr>
          <w:p w14:paraId="132F9015">
            <w:pPr>
              <w:spacing w:line="440" w:lineRule="exact"/>
              <w:jc w:val="center"/>
              <w:rPr>
                <w:rFonts w:eastAsia="仿宋_GB2312"/>
                <w:bCs/>
                <w:sz w:val="28"/>
                <w:szCs w:val="24"/>
              </w:rPr>
            </w:pPr>
            <w:r>
              <w:rPr>
                <w:rFonts w:eastAsia="仿宋_GB2312"/>
                <w:bCs/>
                <w:sz w:val="28"/>
                <w:szCs w:val="24"/>
              </w:rPr>
              <w:t>提名书</w:t>
            </w:r>
          </w:p>
          <w:p w14:paraId="22B73997">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6186FBF4">
            <w:pPr>
              <w:spacing w:line="440" w:lineRule="exact"/>
              <w:jc w:val="left"/>
              <w:rPr>
                <w:rFonts w:eastAsia="仿宋_GB2312"/>
                <w:bCs/>
                <w:sz w:val="24"/>
                <w:szCs w:val="24"/>
              </w:rPr>
            </w:pPr>
            <w:r>
              <w:rPr>
                <w:rFonts w:hint="eastAsia" w:eastAsia="仿宋_GB2312"/>
                <w:bCs/>
                <w:sz w:val="24"/>
                <w:szCs w:val="24"/>
              </w:rPr>
              <w:t>代表性论文专著目录（不超过8篇）</w:t>
            </w:r>
          </w:p>
          <w:p w14:paraId="28FD4ED4">
            <w:pPr>
              <w:spacing w:line="440" w:lineRule="exact"/>
              <w:rPr>
                <w:rFonts w:eastAsia="仿宋_GB2312"/>
                <w:bCs/>
                <w:sz w:val="24"/>
                <w:szCs w:val="24"/>
              </w:rPr>
            </w:pPr>
            <w:r>
              <w:rPr>
                <w:rFonts w:hint="eastAsia" w:eastAsia="仿宋_GB2312"/>
                <w:bCs/>
                <w:sz w:val="24"/>
                <w:szCs w:val="24"/>
              </w:rPr>
              <w:t>1.</w:t>
            </w:r>
            <w:r>
              <w:rPr>
                <w:rFonts w:eastAsia="仿宋_GB2312"/>
                <w:bCs/>
                <w:sz w:val="24"/>
                <w:szCs w:val="24"/>
              </w:rPr>
              <w:t xml:space="preserve"> Proceedings of the National Academy of Sciences of the United States of America, 2023, 120(18): e2221097120.</w:t>
            </w:r>
          </w:p>
          <w:p w14:paraId="18C5EF9D">
            <w:pPr>
              <w:spacing w:line="440" w:lineRule="exact"/>
              <w:rPr>
                <w:rFonts w:eastAsia="仿宋_GB2312"/>
                <w:bCs/>
                <w:sz w:val="24"/>
                <w:szCs w:val="24"/>
              </w:rPr>
            </w:pPr>
            <w:r>
              <w:rPr>
                <w:rFonts w:hint="eastAsia" w:eastAsia="仿宋_GB2312"/>
                <w:bCs/>
                <w:sz w:val="24"/>
                <w:szCs w:val="24"/>
              </w:rPr>
              <w:t>2.</w:t>
            </w:r>
            <w:r>
              <w:rPr>
                <w:rFonts w:eastAsia="仿宋_GB2312"/>
                <w:bCs/>
                <w:sz w:val="24"/>
                <w:szCs w:val="24"/>
              </w:rPr>
              <w:t xml:space="preserve"> Environment International, 2011, 37(7): 1206-1212.</w:t>
            </w:r>
          </w:p>
          <w:p w14:paraId="7C861048">
            <w:pPr>
              <w:spacing w:line="440" w:lineRule="exact"/>
              <w:rPr>
                <w:rFonts w:eastAsia="仿宋_GB2312"/>
                <w:bCs/>
                <w:sz w:val="24"/>
                <w:szCs w:val="24"/>
              </w:rPr>
            </w:pPr>
            <w:r>
              <w:rPr>
                <w:rFonts w:hint="eastAsia" w:eastAsia="仿宋_GB2312"/>
                <w:bCs/>
                <w:sz w:val="24"/>
                <w:szCs w:val="24"/>
              </w:rPr>
              <w:t>3.</w:t>
            </w:r>
            <w:r>
              <w:rPr>
                <w:rFonts w:eastAsia="仿宋_GB2312"/>
                <w:bCs/>
                <w:sz w:val="24"/>
                <w:szCs w:val="24"/>
              </w:rPr>
              <w:t xml:space="preserve"> Environment International, 2018, 119: 37-46.</w:t>
            </w:r>
          </w:p>
          <w:p w14:paraId="3E2B877A">
            <w:pPr>
              <w:spacing w:line="440" w:lineRule="exact"/>
              <w:rPr>
                <w:rFonts w:eastAsia="仿宋_GB2312"/>
                <w:bCs/>
                <w:sz w:val="24"/>
                <w:szCs w:val="24"/>
              </w:rPr>
            </w:pPr>
            <w:r>
              <w:rPr>
                <w:rFonts w:hint="eastAsia" w:eastAsia="仿宋_GB2312"/>
                <w:bCs/>
                <w:sz w:val="24"/>
                <w:szCs w:val="24"/>
              </w:rPr>
              <w:t>4.</w:t>
            </w:r>
            <w:r>
              <w:rPr>
                <w:rFonts w:eastAsia="仿宋_GB2312"/>
                <w:bCs/>
                <w:sz w:val="24"/>
                <w:szCs w:val="24"/>
              </w:rPr>
              <w:t xml:space="preserve"> Food Chemistry, 2015, 168: 90-99.</w:t>
            </w:r>
          </w:p>
          <w:p w14:paraId="405D4E88">
            <w:pPr>
              <w:spacing w:line="440" w:lineRule="exact"/>
              <w:rPr>
                <w:rFonts w:eastAsia="仿宋_GB2312"/>
                <w:bCs/>
                <w:sz w:val="24"/>
                <w:szCs w:val="24"/>
              </w:rPr>
            </w:pPr>
            <w:r>
              <w:rPr>
                <w:rFonts w:hint="eastAsia" w:eastAsia="仿宋_GB2312"/>
                <w:bCs/>
                <w:sz w:val="24"/>
                <w:szCs w:val="24"/>
              </w:rPr>
              <w:t>5.</w:t>
            </w:r>
            <w:r>
              <w:rPr>
                <w:rFonts w:eastAsia="仿宋_GB2312"/>
                <w:bCs/>
                <w:sz w:val="24"/>
                <w:szCs w:val="24"/>
              </w:rPr>
              <w:t xml:space="preserve"> Environment International, 2019, 133: 105191.</w:t>
            </w:r>
          </w:p>
          <w:p w14:paraId="569A9631">
            <w:pPr>
              <w:spacing w:line="440" w:lineRule="exact"/>
              <w:rPr>
                <w:rFonts w:eastAsia="仿宋_GB2312"/>
                <w:bCs/>
                <w:sz w:val="24"/>
                <w:szCs w:val="24"/>
              </w:rPr>
            </w:pPr>
            <w:r>
              <w:rPr>
                <w:rFonts w:hint="eastAsia" w:eastAsia="仿宋_GB2312"/>
                <w:bCs/>
                <w:sz w:val="24"/>
                <w:szCs w:val="24"/>
                <w:lang w:eastAsia="zh-CN"/>
              </w:rPr>
              <w:t>6</w:t>
            </w:r>
            <w:r>
              <w:rPr>
                <w:rFonts w:hint="eastAsia" w:eastAsia="仿宋_GB2312"/>
                <w:bCs/>
                <w:sz w:val="24"/>
                <w:szCs w:val="24"/>
              </w:rPr>
              <w:t>.</w:t>
            </w:r>
            <w:r>
              <w:rPr>
                <w:rFonts w:eastAsia="仿宋_GB2312"/>
                <w:bCs/>
                <w:sz w:val="24"/>
                <w:szCs w:val="24"/>
              </w:rPr>
              <w:t xml:space="preserve"> Journal of Chromatography A, 2006, 1116(1-2): 209-216.</w:t>
            </w:r>
          </w:p>
          <w:p w14:paraId="74AC79D4">
            <w:pPr>
              <w:spacing w:line="440" w:lineRule="exact"/>
              <w:rPr>
                <w:rFonts w:hint="eastAsia" w:eastAsia="仿宋_GB2312"/>
                <w:bCs/>
                <w:sz w:val="24"/>
                <w:szCs w:val="24"/>
                <w:lang w:eastAsia="zh-CN"/>
              </w:rPr>
            </w:pPr>
            <w:r>
              <w:rPr>
                <w:rFonts w:hint="eastAsia" w:eastAsia="仿宋_GB2312"/>
                <w:bCs/>
                <w:sz w:val="24"/>
                <w:szCs w:val="24"/>
                <w:lang w:eastAsia="zh-CN"/>
              </w:rPr>
              <w:t xml:space="preserve">7. </w:t>
            </w:r>
            <w:r>
              <w:rPr>
                <w:rFonts w:hint="default" w:eastAsia="仿宋_GB2312"/>
                <w:bCs/>
                <w:sz w:val="24"/>
                <w:szCs w:val="24"/>
                <w:lang w:val="en-US" w:eastAsia="zh-CN"/>
              </w:rPr>
              <w:t xml:space="preserve">Talanta, </w:t>
            </w:r>
            <w:r>
              <w:rPr>
                <w:rFonts w:hint="eastAsia" w:eastAsia="仿宋_GB2312"/>
                <w:bCs/>
                <w:sz w:val="24"/>
                <w:szCs w:val="24"/>
                <w:lang w:val="en-US" w:eastAsia="zh-CN"/>
              </w:rPr>
              <w:t>2018, 178: 825</w:t>
            </w:r>
            <w:r>
              <w:rPr>
                <w:rFonts w:hint="default" w:eastAsia="仿宋_GB2312"/>
                <w:bCs/>
                <w:sz w:val="24"/>
                <w:szCs w:val="24"/>
                <w:lang w:val="en-US" w:eastAsia="zh-CN"/>
              </w:rPr>
              <w:t>-833.</w:t>
            </w:r>
          </w:p>
          <w:p w14:paraId="4BB63572">
            <w:pPr>
              <w:spacing w:line="440" w:lineRule="exact"/>
              <w:jc w:val="left"/>
              <w:rPr>
                <w:rFonts w:eastAsia="仿宋_GB2312"/>
                <w:bCs/>
                <w:sz w:val="24"/>
                <w:szCs w:val="24"/>
              </w:rPr>
            </w:pPr>
            <w:r>
              <w:rPr>
                <w:rFonts w:hint="eastAsia" w:eastAsia="仿宋_GB2312"/>
                <w:bCs/>
                <w:sz w:val="24"/>
                <w:szCs w:val="24"/>
              </w:rPr>
              <w:t>8.</w:t>
            </w:r>
            <w:r>
              <w:rPr>
                <w:rFonts w:eastAsia="仿宋_GB2312"/>
                <w:bCs/>
                <w:sz w:val="24"/>
                <w:szCs w:val="24"/>
              </w:rPr>
              <w:t xml:space="preserve"> Critical Reviews in Food Science and Nutrition, 2007, 47(5): 521-542.</w:t>
            </w:r>
          </w:p>
          <w:p w14:paraId="0AFB7F63">
            <w:pPr>
              <w:spacing w:line="440" w:lineRule="exact"/>
              <w:jc w:val="left"/>
              <w:rPr>
                <w:rFonts w:eastAsia="仿宋_GB2312"/>
                <w:bCs/>
                <w:sz w:val="24"/>
                <w:szCs w:val="24"/>
              </w:rPr>
            </w:pPr>
            <w:r>
              <w:rPr>
                <w:rFonts w:hint="eastAsia" w:eastAsia="仿宋_GB2312"/>
                <w:bCs/>
                <w:sz w:val="24"/>
                <w:szCs w:val="24"/>
              </w:rPr>
              <w:t>主要知识产权和标准规范目录（不超过5件）</w:t>
            </w:r>
          </w:p>
          <w:p w14:paraId="4CAC8C6B">
            <w:pPr>
              <w:spacing w:line="440" w:lineRule="exact"/>
              <w:jc w:val="left"/>
              <w:rPr>
                <w:rFonts w:eastAsia="仿宋_GB2312"/>
                <w:bCs/>
                <w:sz w:val="24"/>
                <w:szCs w:val="24"/>
              </w:rPr>
            </w:pPr>
            <w:r>
              <w:rPr>
                <w:rFonts w:hint="eastAsia" w:eastAsia="仿宋_GB2312"/>
                <w:bCs/>
                <w:sz w:val="24"/>
                <w:szCs w:val="24"/>
              </w:rPr>
              <w:t>1.</w:t>
            </w:r>
            <w:r>
              <w:rPr>
                <w:rFonts w:eastAsia="仿宋_GB2312"/>
                <w:bCs/>
                <w:sz w:val="24"/>
                <w:szCs w:val="24"/>
              </w:rPr>
              <w:t xml:space="preserve"> </w:t>
            </w:r>
            <w:r>
              <w:rPr>
                <w:rFonts w:hint="eastAsia" w:eastAsia="仿宋_GB2312"/>
                <w:bCs/>
                <w:sz w:val="24"/>
                <w:szCs w:val="24"/>
              </w:rPr>
              <w:t>发明专利1：ZL 2019 1 0468468.6；</w:t>
            </w:r>
          </w:p>
          <w:p w14:paraId="1293C9CD">
            <w:pPr>
              <w:spacing w:line="440" w:lineRule="exact"/>
              <w:jc w:val="left"/>
              <w:rPr>
                <w:rFonts w:eastAsia="仿宋_GB2312"/>
                <w:bCs/>
                <w:sz w:val="24"/>
                <w:szCs w:val="24"/>
              </w:rPr>
            </w:pPr>
            <w:r>
              <w:rPr>
                <w:rFonts w:hint="eastAsia" w:eastAsia="仿宋_GB2312"/>
                <w:bCs/>
                <w:sz w:val="24"/>
                <w:szCs w:val="24"/>
              </w:rPr>
              <w:t>2.</w:t>
            </w:r>
            <w:r>
              <w:rPr>
                <w:rFonts w:eastAsia="仿宋_GB2312"/>
                <w:bCs/>
                <w:sz w:val="24"/>
                <w:szCs w:val="24"/>
              </w:rPr>
              <w:t xml:space="preserve"> </w:t>
            </w:r>
            <w:r>
              <w:rPr>
                <w:rFonts w:hint="eastAsia" w:eastAsia="仿宋_GB2312"/>
                <w:bCs/>
                <w:sz w:val="24"/>
                <w:szCs w:val="24"/>
              </w:rPr>
              <w:t>发明专利2：ZL 2019 1 0472401.X；</w:t>
            </w:r>
          </w:p>
          <w:p w14:paraId="4AB18AA6">
            <w:pPr>
              <w:spacing w:line="440" w:lineRule="exact"/>
              <w:jc w:val="left"/>
              <w:rPr>
                <w:rFonts w:eastAsia="仿宋_GB2312"/>
                <w:bCs/>
                <w:sz w:val="24"/>
                <w:szCs w:val="24"/>
              </w:rPr>
            </w:pPr>
            <w:r>
              <w:rPr>
                <w:rFonts w:hint="eastAsia" w:eastAsia="仿宋_GB2312"/>
                <w:bCs/>
                <w:sz w:val="24"/>
                <w:szCs w:val="24"/>
              </w:rPr>
              <w:t>3.</w:t>
            </w:r>
            <w:r>
              <w:rPr>
                <w:rFonts w:eastAsia="仿宋_GB2312"/>
                <w:bCs/>
                <w:sz w:val="24"/>
                <w:szCs w:val="24"/>
              </w:rPr>
              <w:t xml:space="preserve"> </w:t>
            </w:r>
            <w:r>
              <w:rPr>
                <w:rFonts w:hint="eastAsia" w:eastAsia="仿宋_GB2312"/>
                <w:bCs/>
                <w:sz w:val="24"/>
                <w:szCs w:val="24"/>
              </w:rPr>
              <w:t>发明专利3：ZL 2022 1 0051988.9；</w:t>
            </w:r>
          </w:p>
          <w:p w14:paraId="1820DF98">
            <w:pPr>
              <w:spacing w:line="440" w:lineRule="exact"/>
              <w:jc w:val="left"/>
              <w:rPr>
                <w:rFonts w:eastAsia="仿宋_GB2312"/>
                <w:bCs/>
                <w:sz w:val="24"/>
                <w:szCs w:val="24"/>
              </w:rPr>
            </w:pPr>
            <w:r>
              <w:rPr>
                <w:rFonts w:hint="eastAsia" w:eastAsia="仿宋_GB2312"/>
                <w:bCs/>
                <w:sz w:val="24"/>
                <w:szCs w:val="24"/>
              </w:rPr>
              <w:t>4.</w:t>
            </w:r>
            <w:r>
              <w:rPr>
                <w:rFonts w:eastAsia="仿宋_GB2312"/>
                <w:bCs/>
                <w:sz w:val="24"/>
                <w:szCs w:val="24"/>
              </w:rPr>
              <w:t xml:space="preserve"> </w:t>
            </w:r>
            <w:r>
              <w:rPr>
                <w:rFonts w:hint="eastAsia" w:eastAsia="仿宋_GB2312"/>
                <w:bCs/>
                <w:sz w:val="24"/>
                <w:szCs w:val="24"/>
              </w:rPr>
              <w:t>团体标准：T/CIET 1641-2025；</w:t>
            </w:r>
          </w:p>
          <w:p w14:paraId="16B40DBD">
            <w:pPr>
              <w:spacing w:line="440" w:lineRule="exact"/>
              <w:jc w:val="left"/>
              <w:rPr>
                <w:rFonts w:eastAsia="仿宋_GB2312"/>
                <w:bCs/>
                <w:sz w:val="24"/>
                <w:szCs w:val="24"/>
              </w:rPr>
            </w:pPr>
            <w:r>
              <w:rPr>
                <w:rFonts w:hint="eastAsia" w:eastAsia="仿宋_GB2312"/>
                <w:bCs/>
                <w:sz w:val="24"/>
                <w:szCs w:val="24"/>
              </w:rPr>
              <w:t>5.</w:t>
            </w:r>
            <w:r>
              <w:rPr>
                <w:rFonts w:eastAsia="仿宋_GB2312"/>
                <w:bCs/>
                <w:sz w:val="24"/>
                <w:szCs w:val="24"/>
              </w:rPr>
              <w:t xml:space="preserve"> </w:t>
            </w:r>
            <w:r>
              <w:rPr>
                <w:rFonts w:hint="eastAsia" w:eastAsia="仿宋_GB2312"/>
                <w:bCs/>
                <w:sz w:val="24"/>
                <w:szCs w:val="24"/>
              </w:rPr>
              <w:t>软件著作权：2024SR0406265。</w:t>
            </w:r>
          </w:p>
        </w:tc>
      </w:tr>
      <w:tr w14:paraId="5AF04543">
        <w:tblPrEx>
          <w:tblLayout w:type="fixed"/>
        </w:tblPrEx>
        <w:trPr>
          <w:trHeight w:val="1958" w:hRule="atLeast"/>
        </w:trPr>
        <w:tc>
          <w:tcPr>
            <w:tcW w:w="2269" w:type="dxa"/>
            <w:tcBorders>
              <w:right w:val="single" w:color="auto" w:sz="4" w:space="0"/>
            </w:tcBorders>
            <w:vAlign w:val="center"/>
          </w:tcPr>
          <w:p w14:paraId="0658566C">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14:paraId="5D26029A">
            <w:pPr>
              <w:spacing w:line="440" w:lineRule="exact"/>
              <w:rPr>
                <w:rFonts w:eastAsia="仿宋_GB2312"/>
                <w:bCs/>
                <w:sz w:val="24"/>
                <w:szCs w:val="24"/>
              </w:rPr>
            </w:pPr>
            <w:bookmarkStart w:id="1" w:name="OLE_LINK1"/>
            <w:bookmarkStart w:id="2" w:name="_GoBack"/>
            <w:bookmarkEnd w:id="2"/>
            <w:r>
              <w:rPr>
                <w:rFonts w:hint="eastAsia" w:eastAsia="仿宋_GB2312"/>
                <w:bCs/>
                <w:sz w:val="24"/>
                <w:szCs w:val="24"/>
              </w:rPr>
              <w:t>章宇，排名1，教授，浙江大学；</w:t>
            </w:r>
          </w:p>
          <w:p w14:paraId="654E69E7">
            <w:pPr>
              <w:spacing w:line="440" w:lineRule="exact"/>
              <w:rPr>
                <w:rFonts w:eastAsia="仿宋_GB2312"/>
                <w:bCs/>
                <w:sz w:val="24"/>
                <w:szCs w:val="24"/>
              </w:rPr>
            </w:pPr>
            <w:r>
              <w:rPr>
                <w:rFonts w:hint="eastAsia" w:eastAsia="仿宋_GB2312"/>
                <w:bCs/>
                <w:sz w:val="24"/>
                <w:szCs w:val="24"/>
              </w:rPr>
              <w:t>吴永宁，排名2，研究员，国家食品安全风险评估中心；</w:t>
            </w:r>
          </w:p>
          <w:p w14:paraId="78EA4EE4">
            <w:pPr>
              <w:spacing w:line="440" w:lineRule="exact"/>
              <w:rPr>
                <w:rFonts w:eastAsia="仿宋_GB2312"/>
                <w:bCs/>
                <w:sz w:val="24"/>
                <w:szCs w:val="24"/>
              </w:rPr>
            </w:pPr>
            <w:r>
              <w:rPr>
                <w:rFonts w:hint="eastAsia" w:eastAsia="仿宋_GB2312"/>
                <w:bCs/>
                <w:sz w:val="24"/>
                <w:szCs w:val="24"/>
              </w:rPr>
              <w:t>焦晶晶，排名3，教授，浙江大学</w:t>
            </w:r>
            <w:bookmarkEnd w:id="1"/>
            <w:r>
              <w:rPr>
                <w:rFonts w:hint="eastAsia" w:eastAsia="仿宋_GB2312"/>
                <w:bCs/>
                <w:sz w:val="24"/>
                <w:szCs w:val="24"/>
              </w:rPr>
              <w:t>；</w:t>
            </w:r>
          </w:p>
          <w:p w14:paraId="28C85BFF">
            <w:pPr>
              <w:spacing w:line="440" w:lineRule="exact"/>
              <w:rPr>
                <w:rFonts w:eastAsia="仿宋_GB2312"/>
                <w:bCs/>
                <w:sz w:val="24"/>
                <w:szCs w:val="24"/>
              </w:rPr>
            </w:pPr>
            <w:r>
              <w:rPr>
                <w:rFonts w:hint="eastAsia" w:eastAsia="仿宋_GB2312"/>
                <w:bCs/>
                <w:sz w:val="24"/>
                <w:szCs w:val="24"/>
              </w:rPr>
              <w:t>庄攀，排名4，</w:t>
            </w:r>
            <w:r>
              <w:rPr>
                <w:rFonts w:hint="eastAsia" w:ascii="方正仿宋简体" w:hAnsi="方正仿宋简体" w:eastAsia="方正仿宋简体" w:cs="方正仿宋简体"/>
                <w:bCs/>
                <w:sz w:val="24"/>
                <w:szCs w:val="24"/>
                <w:lang w:eastAsia="zh-CN"/>
              </w:rPr>
              <w:t>特聘</w:t>
            </w:r>
            <w:r>
              <w:rPr>
                <w:rFonts w:hint="eastAsia" w:eastAsia="仿宋_GB2312"/>
                <w:bCs/>
                <w:sz w:val="24"/>
                <w:szCs w:val="24"/>
              </w:rPr>
              <w:t>研究员，浙江大学；</w:t>
            </w:r>
          </w:p>
          <w:p w14:paraId="4E422773">
            <w:pPr>
              <w:spacing w:line="440" w:lineRule="exact"/>
              <w:rPr>
                <w:rFonts w:eastAsia="仿宋_GB2312"/>
                <w:bCs/>
                <w:sz w:val="24"/>
                <w:szCs w:val="24"/>
              </w:rPr>
            </w:pPr>
            <w:r>
              <w:rPr>
                <w:rFonts w:hint="eastAsia" w:eastAsia="仿宋_GB2312"/>
                <w:bCs/>
                <w:sz w:val="24"/>
                <w:szCs w:val="24"/>
              </w:rPr>
              <w:t>万旭志，排名5，助理研究员，浙江大学</w:t>
            </w:r>
          </w:p>
        </w:tc>
      </w:tr>
      <w:tr w14:paraId="0AE64141">
        <w:tblPrEx>
          <w:tblLayout w:type="fixed"/>
        </w:tblPrEx>
        <w:trPr>
          <w:trHeight w:val="1986" w:hRule="atLeast"/>
        </w:trPr>
        <w:tc>
          <w:tcPr>
            <w:tcW w:w="2269" w:type="dxa"/>
            <w:tcBorders>
              <w:right w:val="single" w:color="auto" w:sz="4" w:space="0"/>
            </w:tcBorders>
            <w:vAlign w:val="center"/>
          </w:tcPr>
          <w:p w14:paraId="4E9DF70D">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14:paraId="203EED8F">
            <w:pPr>
              <w:spacing w:line="440" w:lineRule="exact"/>
              <w:jc w:val="left"/>
              <w:rPr>
                <w:rFonts w:eastAsia="仿宋_GB2312"/>
                <w:bCs/>
                <w:sz w:val="24"/>
                <w:szCs w:val="24"/>
              </w:rPr>
            </w:pPr>
            <w:r>
              <w:rPr>
                <w:rFonts w:eastAsia="仿宋_GB2312"/>
                <w:bCs/>
                <w:sz w:val="24"/>
                <w:szCs w:val="24"/>
              </w:rPr>
              <w:t>1.</w:t>
            </w:r>
            <w:r>
              <w:rPr>
                <w:sz w:val="24"/>
                <w:szCs w:val="24"/>
              </w:rPr>
              <w:t xml:space="preserve"> </w:t>
            </w:r>
            <w:r>
              <w:rPr>
                <w:rFonts w:hint="eastAsia" w:eastAsia="仿宋_GB2312"/>
                <w:bCs/>
                <w:sz w:val="24"/>
                <w:szCs w:val="24"/>
              </w:rPr>
              <w:t>浙江大学</w:t>
            </w:r>
          </w:p>
          <w:p w14:paraId="292C4717">
            <w:pPr>
              <w:spacing w:line="440" w:lineRule="exact"/>
              <w:jc w:val="left"/>
              <w:rPr>
                <w:rFonts w:eastAsia="仿宋_GB2312"/>
                <w:bCs/>
                <w:sz w:val="24"/>
                <w:szCs w:val="24"/>
              </w:rPr>
            </w:pPr>
            <w:r>
              <w:rPr>
                <w:rFonts w:eastAsia="仿宋_GB2312"/>
                <w:bCs/>
                <w:sz w:val="24"/>
                <w:szCs w:val="24"/>
              </w:rPr>
              <w:t>2.</w:t>
            </w:r>
            <w:r>
              <w:rPr>
                <w:sz w:val="24"/>
                <w:szCs w:val="24"/>
              </w:rPr>
              <w:t xml:space="preserve"> </w:t>
            </w:r>
            <w:r>
              <w:rPr>
                <w:rFonts w:hint="eastAsia" w:eastAsia="仿宋_GB2312"/>
                <w:bCs/>
                <w:sz w:val="24"/>
                <w:szCs w:val="24"/>
              </w:rPr>
              <w:t>国家食品安全风险评估中心</w:t>
            </w:r>
          </w:p>
          <w:p w14:paraId="0F64037B">
            <w:pPr>
              <w:spacing w:line="440" w:lineRule="exact"/>
              <w:jc w:val="left"/>
              <w:rPr>
                <w:rFonts w:eastAsia="仿宋"/>
                <w:bCs/>
                <w:sz w:val="24"/>
                <w:szCs w:val="24"/>
              </w:rPr>
            </w:pPr>
          </w:p>
        </w:tc>
      </w:tr>
      <w:tr w14:paraId="5651374C">
        <w:tblPrEx>
          <w:tblLayout w:type="fixed"/>
        </w:tblPrEx>
        <w:trPr>
          <w:trHeight w:val="692" w:hRule="atLeast"/>
        </w:trPr>
        <w:tc>
          <w:tcPr>
            <w:tcW w:w="2269" w:type="dxa"/>
            <w:vAlign w:val="center"/>
          </w:tcPr>
          <w:p w14:paraId="3E621D99">
            <w:pPr>
              <w:jc w:val="center"/>
              <w:rPr>
                <w:rStyle w:val="36"/>
                <w:rFonts w:eastAsia="仿宋_GB2312"/>
                <w:b w:val="0"/>
                <w:color w:val="auto"/>
                <w:sz w:val="28"/>
                <w:szCs w:val="28"/>
              </w:rPr>
            </w:pPr>
            <w:r>
              <w:rPr>
                <w:rStyle w:val="36"/>
                <w:rFonts w:eastAsia="仿宋_GB2312"/>
                <w:b w:val="0"/>
                <w:color w:val="auto"/>
                <w:sz w:val="28"/>
                <w:szCs w:val="28"/>
              </w:rPr>
              <w:t>提名</w:t>
            </w:r>
            <w:r>
              <w:rPr>
                <w:rStyle w:val="36"/>
                <w:rFonts w:hint="eastAsia" w:eastAsia="仿宋_GB2312"/>
                <w:b w:val="0"/>
                <w:color w:val="auto"/>
                <w:sz w:val="28"/>
                <w:szCs w:val="28"/>
              </w:rPr>
              <w:t>专家</w:t>
            </w:r>
          </w:p>
        </w:tc>
        <w:tc>
          <w:tcPr>
            <w:tcW w:w="6237" w:type="dxa"/>
            <w:vAlign w:val="center"/>
          </w:tcPr>
          <w:p w14:paraId="55165F42">
            <w:pPr>
              <w:spacing w:line="360" w:lineRule="auto"/>
              <w:jc w:val="left"/>
              <w:rPr>
                <w:rStyle w:val="36"/>
                <w:rFonts w:eastAsia="仿宋_GB2312"/>
                <w:b w:val="0"/>
                <w:bCs w:val="0"/>
                <w:color w:val="auto"/>
              </w:rPr>
            </w:pPr>
            <w:r>
              <w:rPr>
                <w:rFonts w:hint="eastAsia" w:eastAsia="仿宋_GB2312"/>
                <w:sz w:val="24"/>
                <w:szCs w:val="24"/>
              </w:rPr>
              <w:t>陈卫，</w:t>
            </w:r>
            <w:r>
              <w:rPr>
                <w:rFonts w:hint="eastAsia" w:eastAsia="仿宋_GB2312"/>
                <w:sz w:val="24"/>
                <w:szCs w:val="32"/>
              </w:rPr>
              <w:t>中国农业大学、教授、食品科学</w:t>
            </w:r>
          </w:p>
        </w:tc>
      </w:tr>
      <w:tr w14:paraId="15CDFDEF">
        <w:tblPrEx>
          <w:tblLayout w:type="fixed"/>
        </w:tblPrEx>
        <w:trPr>
          <w:trHeight w:val="3683" w:hRule="atLeast"/>
        </w:trPr>
        <w:tc>
          <w:tcPr>
            <w:tcW w:w="2269" w:type="dxa"/>
            <w:vAlign w:val="center"/>
          </w:tcPr>
          <w:p w14:paraId="04C35407">
            <w:pPr>
              <w:jc w:val="center"/>
              <w:rPr>
                <w:rStyle w:val="36"/>
                <w:rFonts w:eastAsia="仿宋_GB2312"/>
                <w:b w:val="0"/>
                <w:color w:val="auto"/>
                <w:sz w:val="28"/>
                <w:szCs w:val="28"/>
              </w:rPr>
            </w:pPr>
            <w:r>
              <w:rPr>
                <w:rStyle w:val="36"/>
                <w:rFonts w:eastAsia="仿宋_GB2312"/>
                <w:b w:val="0"/>
                <w:color w:val="auto"/>
                <w:sz w:val="28"/>
                <w:szCs w:val="28"/>
              </w:rPr>
              <w:t>提名意见</w:t>
            </w:r>
          </w:p>
        </w:tc>
        <w:tc>
          <w:tcPr>
            <w:tcW w:w="6237" w:type="dxa"/>
            <w:vAlign w:val="center"/>
          </w:tcPr>
          <w:p w14:paraId="6D7DB9AA">
            <w:pPr>
              <w:contextualSpacing/>
              <w:rPr>
                <w:rStyle w:val="36"/>
                <w:rFonts w:ascii="仿宋" w:hAnsi="仿宋" w:eastAsia="仿宋"/>
                <w:b w:val="0"/>
                <w:color w:val="auto"/>
              </w:rPr>
            </w:pPr>
            <w:r>
              <w:rPr>
                <w:rStyle w:val="36"/>
                <w:rFonts w:hint="eastAsia" w:ascii="仿宋" w:hAnsi="仿宋" w:eastAsia="仿宋"/>
                <w:b w:val="0"/>
                <w:color w:val="auto"/>
              </w:rPr>
              <w:t>本项成果主要贡献为：1）围绕丙烯酰胺、氯丙醇酯、缩水甘油酯、高氯酸盐及全氟和多氟烷基物质等典型化学污染物，建立复杂食品基质中多类污染物的高灵敏检测与精准暴露评估方法，构建覆盖尿液、血液和DNA损伤标志物的多层级内暴露表征体系，并发展生理毒代动力学模型和机器学习预测路径，创新性贯通膳食外暴露与人体真实内暴露之间的定量转化关系。2）基于全国膳食调查、前瞻性人群队列和生物标志物监测，系统揭示油炸食品、食用油脂、丙烯酰胺及环氧丙酰胺血红蛋白加合物、氯丙醇酯和缩水甘油酯内暴露标志物，以及高氯酸盐和全氟和多氟烷基物质等环境迁移型污染物与肥胖、糖尿病、代谢综合征、心血管疾病死亡、焦虑和抑郁等慢性健康结局之间的关联规律，拓展了内暴露指标在食品污染物健康风险识别中的应用边界。3）利用斑马鱼、啮齿动物模型、细胞模型和多组学技术，阐明丙烯酰胺等污染物诱导发育毒性、脂质代谢紊乱、神经炎症和DNA损伤的分子机制，并揭示茶多酚、儿茶素等膳食活性成分调控污染物体内代谢转化和毒性损伤的防护作用。</w:t>
            </w:r>
          </w:p>
          <w:p w14:paraId="7B8D0638">
            <w:pPr>
              <w:contextualSpacing/>
              <w:rPr>
                <w:rStyle w:val="36"/>
                <w:rFonts w:ascii="仿宋" w:hAnsi="仿宋" w:eastAsia="仿宋"/>
                <w:b w:val="0"/>
                <w:color w:val="auto"/>
              </w:rPr>
            </w:pPr>
            <w:r>
              <w:rPr>
                <w:rStyle w:val="36"/>
                <w:rFonts w:hint="eastAsia" w:ascii="仿宋" w:hAnsi="仿宋" w:eastAsia="仿宋"/>
                <w:b w:val="0"/>
                <w:color w:val="auto"/>
              </w:rPr>
              <w:t>本项成果发表相关</w:t>
            </w:r>
            <w:r>
              <w:rPr>
                <w:rStyle w:val="36"/>
                <w:rFonts w:hint="eastAsia" w:ascii="仿宋" w:hAnsi="仿宋" w:eastAsia="仿宋"/>
                <w:b w:val="0"/>
                <w:color w:val="auto"/>
              </w:rPr>
              <w:t>S</w:t>
            </w:r>
            <w:r>
              <w:rPr>
                <w:rStyle w:val="36"/>
                <w:rFonts w:ascii="仿宋" w:hAnsi="仿宋" w:eastAsia="仿宋"/>
                <w:b w:val="0"/>
                <w:color w:val="auto"/>
              </w:rPr>
              <w:t>CI</w:t>
            </w:r>
            <w:r>
              <w:rPr>
                <w:rStyle w:val="36"/>
                <w:rFonts w:hint="eastAsia" w:ascii="仿宋" w:hAnsi="仿宋" w:eastAsia="仿宋"/>
                <w:b w:val="0"/>
                <w:color w:val="auto"/>
              </w:rPr>
              <w:t>论文7</w:t>
            </w:r>
            <w:r>
              <w:rPr>
                <w:rStyle w:val="36"/>
                <w:rFonts w:hint="eastAsia" w:ascii="仿宋" w:hAnsi="仿宋" w:eastAsia="仿宋"/>
                <w:b w:val="0"/>
                <w:color w:val="auto"/>
              </w:rPr>
              <w:t>4</w:t>
            </w:r>
            <w:r>
              <w:rPr>
                <w:rStyle w:val="36"/>
                <w:rFonts w:hint="eastAsia" w:ascii="仿宋" w:hAnsi="仿宋" w:eastAsia="仿宋"/>
                <w:b w:val="0"/>
                <w:color w:val="auto"/>
              </w:rPr>
              <w:t>篇，</w:t>
            </w:r>
            <w:r>
              <w:rPr>
                <w:rStyle w:val="36"/>
                <w:rFonts w:hint="eastAsia" w:ascii="仿宋" w:hAnsi="仿宋" w:eastAsia="仿宋"/>
                <w:b w:val="0"/>
                <w:color w:val="auto"/>
              </w:rPr>
              <w:t>总引用超过2000次</w:t>
            </w:r>
            <w:r>
              <w:rPr>
                <w:rStyle w:val="36"/>
                <w:rFonts w:hint="eastAsia" w:ascii="仿宋" w:hAnsi="仿宋" w:eastAsia="仿宋"/>
                <w:b w:val="0"/>
                <w:color w:val="auto"/>
              </w:rPr>
              <w:t>；授权发明专利3项，主持发布团体标准1项，登记软件著作权1项。项目成果创新性强，系统性好，学术价值和公共健康意义突出，整体达到国际先进水平，对推动我国食品污染物风险评价由传统外暴露估算向人体真实内暴露表征、毒代动力学推断和机制性危害识别转变具有重要意义。</w:t>
            </w:r>
          </w:p>
          <w:p w14:paraId="547B35DB">
            <w:pPr>
              <w:contextualSpacing/>
              <w:jc w:val="center"/>
              <w:rPr>
                <w:rStyle w:val="36"/>
                <w:b w:val="0"/>
                <w:color w:val="auto"/>
              </w:rPr>
            </w:pPr>
            <w:r>
              <w:rPr>
                <w:rStyle w:val="36"/>
                <w:rFonts w:hint="eastAsia" w:ascii="仿宋" w:hAnsi="仿宋" w:eastAsia="仿宋"/>
                <w:b w:val="0"/>
                <w:color w:val="auto"/>
              </w:rPr>
              <w:t>提名该成果为浙江省自然科学奖一等奖。</w:t>
            </w:r>
          </w:p>
        </w:tc>
      </w:tr>
    </w:tbl>
    <w:p w14:paraId="1A937878">
      <w:pPr>
        <w:adjustRightInd w:val="0"/>
        <w:snapToGrid w:val="0"/>
        <w:spacing w:line="560" w:lineRule="exact"/>
        <w:rPr>
          <w:rFonts w:eastAsia="仿宋_GB2312"/>
          <w:sz w:val="32"/>
          <w:szCs w:val="32"/>
        </w:rPr>
      </w:pPr>
    </w:p>
    <w:sectPr>
      <w:headerReference r:id="rId5" w:type="first"/>
      <w:headerReference r:id="rId3" w:type="default"/>
      <w:footerReference r:id="rId6" w:type="default"/>
      <w:headerReference r:id="rId4" w:type="even"/>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0" w:usb1="00000000" w:usb2="00000010" w:usb3="00000000" w:csb0="00040000" w:csb1="00000000"/>
    <w:embedRegular r:id="rId1" w:fontKey="{913E916E-F7A8-803D-5D60-336A317C9C40}"/>
  </w:font>
  <w:font w:name="方正仿宋简体">
    <w:altName w:val="微软雅黑"/>
    <w:panose1 w:val="00000000000000000000"/>
    <w:charset w:val="86"/>
    <w:family w:val="auto"/>
    <w:pitch w:val="default"/>
    <w:sig w:usb0="00000000" w:usb1="00000000" w:usb2="0000000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00000000" w:usb1="00000000" w:usb2="00000016" w:usb3="00000000" w:csb0="00040001" w:csb1="00000000"/>
    <w:embedRegular r:id="rId2" w:fontKey="{C33CF52C-A9CE-00F1-5D60-336AF46210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6286816"/>
    </w:sdtPr>
    <w:sdtEndPr>
      <w:rPr>
        <w:sz w:val="21"/>
        <w:szCs w:val="21"/>
      </w:rPr>
    </w:sdtEndPr>
    <w:sdtContent>
      <w:p w14:paraId="35CF5F1C">
        <w:pPr>
          <w:pStyle w:val="1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143</w:t>
        </w:r>
        <w:r>
          <w:rPr>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F3EAA">
    <w:pPr>
      <w:ind w:left="420" w:hanging="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88BC1">
    <w:pPr>
      <w:pStyle w:val="11"/>
      <w:ind w:left="360" w:hanging="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E5E1A">
    <w:pPr>
      <w:pStyle w:val="11"/>
      <w:ind w:left="360" w:hanging="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
    <w:docVar w:name="KSO_WPS_MARK_KEY" w:va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3"/>
    <w:qFormat/>
    <w:uiPriority w:val="9"/>
    <w:pPr>
      <w:keepNext/>
      <w:keepLines/>
      <w:widowControl/>
      <w:spacing w:before="340" w:after="330" w:line="578" w:lineRule="auto"/>
      <w:jc w:val="left"/>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unhideWhenUsed/>
    <w:uiPriority w:val="1"/>
  </w:style>
  <w:style w:type="table" w:default="1" w:styleId="21">
    <w:name w:val="Normal Table"/>
    <w:unhideWhenUsed/>
    <w:uiPriority w:val="99"/>
    <w:tblPr>
      <w:tblLayout w:type="fixed"/>
      <w:tblCellMar>
        <w:top w:w="0" w:type="dxa"/>
        <w:left w:w="108" w:type="dxa"/>
        <w:bottom w:w="0" w:type="dxa"/>
        <w:right w:w="108" w:type="dxa"/>
      </w:tblCellMar>
    </w:tblPr>
  </w:style>
  <w:style w:type="paragraph" w:styleId="4">
    <w:name w:val="annotation subject"/>
    <w:basedOn w:val="5"/>
    <w:next w:val="5"/>
    <w:link w:val="35"/>
    <w:unhideWhenUsed/>
    <w:qFormat/>
    <w:uiPriority w:val="99"/>
    <w:rPr>
      <w:b/>
      <w:bCs/>
    </w:rPr>
  </w:style>
  <w:style w:type="paragraph" w:styleId="5">
    <w:name w:val="annotation text"/>
    <w:basedOn w:val="1"/>
    <w:link w:val="29"/>
    <w:unhideWhenUsed/>
    <w:qFormat/>
    <w:uiPriority w:val="99"/>
    <w:pPr>
      <w:widowControl/>
      <w:jc w:val="left"/>
    </w:pPr>
  </w:style>
  <w:style w:type="paragraph" w:styleId="6">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7">
    <w:name w:val="Plain Text"/>
    <w:basedOn w:val="1"/>
    <w:link w:val="30"/>
    <w:qFormat/>
    <w:uiPriority w:val="0"/>
    <w:pPr>
      <w:spacing w:line="360" w:lineRule="auto"/>
      <w:ind w:firstLine="480" w:firstLineChars="200"/>
    </w:pPr>
    <w:rPr>
      <w:rFonts w:ascii="仿宋_GB2312"/>
      <w:sz w:val="24"/>
    </w:rPr>
  </w:style>
  <w:style w:type="paragraph" w:styleId="8">
    <w:name w:val="Body Text Indent 2"/>
    <w:basedOn w:val="1"/>
    <w:link w:val="33"/>
    <w:qFormat/>
    <w:uiPriority w:val="0"/>
    <w:pPr>
      <w:widowControl/>
      <w:ind w:firstLine="562" w:firstLineChars="200"/>
      <w:jc w:val="left"/>
    </w:pPr>
    <w:rPr>
      <w:b/>
      <w:bCs/>
      <w:sz w:val="28"/>
      <w:szCs w:val="24"/>
    </w:rPr>
  </w:style>
  <w:style w:type="paragraph" w:styleId="9">
    <w:name w:val="Balloon Text"/>
    <w:basedOn w:val="1"/>
    <w:link w:val="28"/>
    <w:unhideWhenUsed/>
    <w:qFormat/>
    <w:uiPriority w:val="99"/>
    <w:rPr>
      <w:sz w:val="18"/>
      <w:szCs w:val="18"/>
    </w:rPr>
  </w:style>
  <w:style w:type="paragraph" w:styleId="10">
    <w:name w:val="footer"/>
    <w:basedOn w:val="1"/>
    <w:link w:val="26"/>
    <w:unhideWhenUsed/>
    <w:qFormat/>
    <w:uiPriority w:val="99"/>
    <w:pPr>
      <w:tabs>
        <w:tab w:val="center" w:pos="4153"/>
        <w:tab w:val="right" w:pos="8306"/>
      </w:tabs>
      <w:snapToGrid w:val="0"/>
      <w:jc w:val="left"/>
    </w:pPr>
    <w:rPr>
      <w:sz w:val="18"/>
      <w:szCs w:val="18"/>
    </w:rPr>
  </w:style>
  <w:style w:type="paragraph" w:styleId="11">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tabs>
        <w:tab w:val="right" w:leader="dot" w:pos="8720"/>
      </w:tabs>
      <w:spacing w:after="100" w:afterAutospacing="1" w:line="360" w:lineRule="auto"/>
      <w:jc w:val="left"/>
    </w:pPr>
    <w:rPr>
      <w:rFonts w:ascii="仿宋_GB2312" w:hAnsi="宋体" w:eastAsia="仿宋_GB2312"/>
      <w:b/>
      <w:bCs/>
      <w:kern w:val="0"/>
      <w:sz w:val="32"/>
      <w:szCs w:val="32"/>
    </w:rPr>
  </w:style>
  <w:style w:type="paragraph" w:styleId="13">
    <w:name w:val="toc 2"/>
    <w:basedOn w:val="1"/>
    <w:next w:val="1"/>
    <w:unhideWhenUsed/>
    <w:qFormat/>
    <w:uiPriority w:val="39"/>
    <w:pPr>
      <w:ind w:left="420" w:leftChars="200"/>
    </w:p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link w:val="34"/>
    <w:qFormat/>
    <w:uiPriority w:val="0"/>
    <w:pPr>
      <w:widowControl/>
      <w:spacing w:before="240" w:after="60"/>
      <w:jc w:val="center"/>
      <w:outlineLvl w:val="0"/>
    </w:pPr>
    <w:rPr>
      <w:rFonts w:ascii="Cambria" w:hAnsi="Cambria" w:eastAsia="黑体"/>
      <w:b/>
      <w:bCs/>
      <w:sz w:val="52"/>
      <w:szCs w:val="32"/>
    </w:rPr>
  </w:style>
  <w:style w:type="character" w:styleId="17">
    <w:name w:val="Strong"/>
    <w:basedOn w:val="16"/>
    <w:qFormat/>
    <w:uiPriority w:val="0"/>
    <w:rPr>
      <w:b/>
      <w:bCs/>
    </w:rPr>
  </w:style>
  <w:style w:type="character" w:styleId="18">
    <w:name w:val="page number"/>
    <w:basedOn w:val="16"/>
    <w:qFormat/>
    <w:uiPriority w:val="0"/>
  </w:style>
  <w:style w:type="character" w:styleId="19">
    <w:name w:val="Hyperlink"/>
    <w:qFormat/>
    <w:uiPriority w:val="99"/>
    <w:rPr>
      <w:color w:val="0000FF"/>
      <w:u w:val="single"/>
    </w:rPr>
  </w:style>
  <w:style w:type="character" w:styleId="20">
    <w:name w:val="annotation reference"/>
    <w:basedOn w:val="16"/>
    <w:unhideWhenUsed/>
    <w:qFormat/>
    <w:uiPriority w:val="99"/>
    <w:rPr>
      <w:sz w:val="21"/>
      <w:szCs w:val="21"/>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3">
    <w:name w:val="标题 1 字符"/>
    <w:basedOn w:val="16"/>
    <w:link w:val="2"/>
    <w:qFormat/>
    <w:uiPriority w:val="9"/>
    <w:rPr>
      <w:rFonts w:ascii="Times New Roman" w:hAnsi="Times New Roman" w:eastAsia="宋体" w:cs="Times New Roman"/>
      <w:b/>
      <w:bCs/>
      <w:kern w:val="44"/>
      <w:sz w:val="44"/>
      <w:szCs w:val="44"/>
    </w:rPr>
  </w:style>
  <w:style w:type="character" w:customStyle="1" w:styleId="24">
    <w:name w:val="标题 2 字符"/>
    <w:basedOn w:val="16"/>
    <w:link w:val="3"/>
    <w:qFormat/>
    <w:uiPriority w:val="9"/>
    <w:rPr>
      <w:rFonts w:asciiTheme="majorHAnsi" w:hAnsiTheme="majorHAnsi" w:eastAsiaTheme="majorEastAsia" w:cstheme="majorBidi"/>
      <w:b/>
      <w:bCs/>
      <w:sz w:val="32"/>
      <w:szCs w:val="32"/>
    </w:rPr>
  </w:style>
  <w:style w:type="character" w:customStyle="1" w:styleId="25">
    <w:name w:val="页眉 字符"/>
    <w:basedOn w:val="16"/>
    <w:link w:val="11"/>
    <w:qFormat/>
    <w:uiPriority w:val="0"/>
    <w:rPr>
      <w:sz w:val="18"/>
      <w:szCs w:val="18"/>
    </w:rPr>
  </w:style>
  <w:style w:type="character" w:customStyle="1" w:styleId="26">
    <w:name w:val="页脚 字符"/>
    <w:basedOn w:val="16"/>
    <w:link w:val="10"/>
    <w:qFormat/>
    <w:uiPriority w:val="99"/>
    <w:rPr>
      <w:sz w:val="18"/>
      <w:szCs w:val="18"/>
    </w:rPr>
  </w:style>
  <w:style w:type="paragraph" w:customStyle="1" w:styleId="27">
    <w:name w:val="样式1"/>
    <w:basedOn w:val="1"/>
    <w:qFormat/>
    <w:uiPriority w:val="0"/>
    <w:pPr>
      <w:spacing w:line="600" w:lineRule="exact"/>
      <w:ind w:firstLine="200" w:firstLineChars="200"/>
    </w:pPr>
    <w:rPr>
      <w:rFonts w:eastAsia="方正仿宋简体"/>
      <w:bCs/>
      <w:snapToGrid w:val="0"/>
      <w:kern w:val="0"/>
      <w:sz w:val="32"/>
      <w:szCs w:val="32"/>
    </w:rPr>
  </w:style>
  <w:style w:type="character" w:customStyle="1" w:styleId="28">
    <w:name w:val="批注框文本 字符"/>
    <w:basedOn w:val="16"/>
    <w:link w:val="9"/>
    <w:semiHidden/>
    <w:qFormat/>
    <w:uiPriority w:val="99"/>
    <w:rPr>
      <w:rFonts w:ascii="Times New Roman" w:hAnsi="Times New Roman" w:eastAsia="宋体" w:cs="Times New Roman"/>
      <w:sz w:val="18"/>
      <w:szCs w:val="18"/>
    </w:rPr>
  </w:style>
  <w:style w:type="character" w:customStyle="1" w:styleId="29">
    <w:name w:val="批注文字 字符"/>
    <w:basedOn w:val="16"/>
    <w:link w:val="5"/>
    <w:semiHidden/>
    <w:qFormat/>
    <w:uiPriority w:val="99"/>
    <w:rPr>
      <w:rFonts w:ascii="Times New Roman" w:hAnsi="Times New Roman" w:eastAsia="宋体" w:cs="Times New Roman"/>
      <w:szCs w:val="20"/>
    </w:rPr>
  </w:style>
  <w:style w:type="character" w:customStyle="1" w:styleId="30">
    <w:name w:val="纯文本 字符"/>
    <w:basedOn w:val="16"/>
    <w:link w:val="7"/>
    <w:qFormat/>
    <w:uiPriority w:val="0"/>
    <w:rPr>
      <w:rFonts w:ascii="仿宋_GB2312" w:hAnsi="Times New Roman" w:eastAsia="宋体" w:cs="Times New Roman"/>
      <w:sz w:val="24"/>
      <w:szCs w:val="20"/>
    </w:rPr>
  </w:style>
  <w:style w:type="paragraph" w:customStyle="1" w:styleId="31">
    <w:name w:val="_Style 8"/>
    <w:basedOn w:val="1"/>
    <w:next w:val="1"/>
    <w:qFormat/>
    <w:uiPriority w:val="0"/>
    <w:pPr>
      <w:spacing w:line="360" w:lineRule="auto"/>
      <w:ind w:firstLine="480" w:firstLineChars="200"/>
    </w:pPr>
    <w:rPr>
      <w:rFonts w:ascii="仿宋_GB2312"/>
      <w:sz w:val="24"/>
    </w:rPr>
  </w:style>
  <w:style w:type="paragraph" w:customStyle="1" w:styleId="32">
    <w:name w:val="List Paragraph"/>
    <w:basedOn w:val="1"/>
    <w:qFormat/>
    <w:uiPriority w:val="34"/>
    <w:pPr>
      <w:ind w:firstLine="420" w:firstLineChars="200"/>
    </w:pPr>
    <w:rPr>
      <w:rFonts w:ascii="仿宋_GB2312" w:eastAsia="仿宋_GB2312"/>
      <w:spacing w:val="-4"/>
      <w:sz w:val="32"/>
    </w:rPr>
  </w:style>
  <w:style w:type="character" w:customStyle="1" w:styleId="33">
    <w:name w:val="正文文本缩进 2 字符"/>
    <w:basedOn w:val="16"/>
    <w:link w:val="8"/>
    <w:qFormat/>
    <w:uiPriority w:val="0"/>
    <w:rPr>
      <w:rFonts w:ascii="Times New Roman" w:hAnsi="Times New Roman" w:eastAsia="宋体" w:cs="Times New Roman"/>
      <w:b/>
      <w:bCs/>
      <w:sz w:val="28"/>
      <w:szCs w:val="24"/>
    </w:rPr>
  </w:style>
  <w:style w:type="character" w:customStyle="1" w:styleId="34">
    <w:name w:val="标题 字符"/>
    <w:basedOn w:val="16"/>
    <w:link w:val="15"/>
    <w:qFormat/>
    <w:uiPriority w:val="0"/>
    <w:rPr>
      <w:rFonts w:ascii="Cambria" w:hAnsi="Cambria" w:eastAsia="黑体" w:cs="Times New Roman"/>
      <w:b/>
      <w:bCs/>
      <w:sz w:val="52"/>
      <w:szCs w:val="32"/>
    </w:rPr>
  </w:style>
  <w:style w:type="character" w:customStyle="1" w:styleId="35">
    <w:name w:val="批注主题 字符"/>
    <w:basedOn w:val="29"/>
    <w:link w:val="4"/>
    <w:semiHidden/>
    <w:qFormat/>
    <w:uiPriority w:val="99"/>
    <w:rPr>
      <w:rFonts w:ascii="Times New Roman" w:hAnsi="Times New Roman" w:eastAsia="宋体" w:cs="Times New Roman"/>
      <w:b/>
      <w:bCs/>
      <w:szCs w:val="20"/>
    </w:rPr>
  </w:style>
  <w:style w:type="character" w:customStyle="1" w:styleId="36">
    <w:name w:val="title1"/>
    <w:qFormat/>
    <w:uiPriority w:val="0"/>
    <w:rPr>
      <w:b/>
      <w:bCs/>
      <w:color w:val="999900"/>
      <w:sz w:val="24"/>
      <w:szCs w:val="24"/>
    </w:rPr>
  </w:style>
  <w:style w:type="paragraph" w:customStyle="1" w:styleId="37">
    <w:name w:val="TOC 标题1"/>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284</Words>
  <Characters>1620</Characters>
  <Lines>13</Lines>
  <Paragraphs>3</Paragraphs>
  <TotalTime>0</TotalTime>
  <ScaleCrop>false</ScaleCrop>
  <LinksUpToDate>false</LinksUpToDate>
  <CharactersWithSpaces>1901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2026-05-14T10:05:00Z</dcterms:created>
  <dc:creator>胡胜链</dc:creator>
  <cp:lastModifiedBy>iPhone</cp:lastModifiedBy>
  <cp:lastPrinted>2026-05-06T19:13:00Z</cp:lastPrinted>
  <dcterms:modified xsi:type="dcterms:W3CDTF">2026-06-18T11:05:01Z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2052-12.45.1</vt:lpwstr>
  </property>
  <property fmtid="{D5CDD505-2E9C-101B-9397-08002B2CF9AE}" pid="3" name="ICV">
    <vt:lpwstr>7415A875B6C34A36A16A6087D0DEB524</vt:lpwstr>
  </property>
  <property fmtid="{D5CDD505-2E9C-101B-9397-08002B2CF9AE}" pid="4" name="KSOTemplateDocerSaveRecord">
    <vt:lpwstr>eyJoZGlkIjoiZTIzZGU0Y2IyMzNjZTk2MjJlOTRhMWI5NjlkM2U4OTkiLCJ1c2VySWQiOiIzOTEwMDAxNTAifQ==</vt:lpwstr>
  </property>
</Properties>
</file>