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7ECA1">
      <w:pPr>
        <w:jc w:val="center"/>
        <w:rPr>
          <w:rStyle w:val="9"/>
          <w:rFonts w:eastAsia="仿宋"/>
          <w:bCs w:val="0"/>
          <w:color w:val="auto"/>
          <w:sz w:val="36"/>
          <w:szCs w:val="36"/>
        </w:rPr>
      </w:pPr>
      <w:r>
        <w:rPr>
          <w:rStyle w:val="9"/>
          <w:rFonts w:eastAsia="仿宋"/>
          <w:color w:val="auto"/>
          <w:sz w:val="36"/>
          <w:szCs w:val="36"/>
        </w:rPr>
        <w:t>浙江省科学技术奖公示信息表</w:t>
      </w:r>
      <w:r>
        <w:rPr>
          <w:rStyle w:val="9"/>
          <w:rFonts w:eastAsia="仿宋"/>
          <w:color w:val="auto"/>
          <w:sz w:val="32"/>
          <w:szCs w:val="32"/>
        </w:rPr>
        <w:t>（单位提名）</w:t>
      </w:r>
    </w:p>
    <w:p w14:paraId="7E1DA40B">
      <w:pPr>
        <w:spacing w:line="440" w:lineRule="exact"/>
        <w:rPr>
          <w:rFonts w:eastAsia="仿宋"/>
          <w:sz w:val="28"/>
          <w:szCs w:val="24"/>
        </w:rPr>
      </w:pPr>
      <w:r>
        <w:rPr>
          <w:rFonts w:eastAsia="仿宋"/>
          <w:sz w:val="28"/>
          <w:szCs w:val="24"/>
        </w:rPr>
        <w:t>提名奖项：自然科学奖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4"/>
        <w:gridCol w:w="6492"/>
      </w:tblGrid>
      <w:tr w14:paraId="15B8B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014" w:type="dxa"/>
            <w:vAlign w:val="center"/>
          </w:tcPr>
          <w:p w14:paraId="522B25BE">
            <w:pPr>
              <w:jc w:val="center"/>
              <w:rPr>
                <w:rStyle w:val="9"/>
                <w:rFonts w:eastAsia="仿宋"/>
                <w:b w:val="0"/>
                <w:color w:val="auto"/>
                <w:sz w:val="28"/>
              </w:rPr>
            </w:pPr>
            <w:r>
              <w:rPr>
                <w:rStyle w:val="9"/>
                <w:rFonts w:eastAsia="仿宋"/>
                <w:b w:val="0"/>
                <w:color w:val="auto"/>
                <w:sz w:val="28"/>
              </w:rPr>
              <w:t>成果名称</w:t>
            </w:r>
          </w:p>
        </w:tc>
        <w:tc>
          <w:tcPr>
            <w:tcW w:w="6492" w:type="dxa"/>
            <w:vAlign w:val="center"/>
          </w:tcPr>
          <w:p w14:paraId="5C53CBA7">
            <w:pPr>
              <w:jc w:val="center"/>
              <w:rPr>
                <w:rStyle w:val="9"/>
                <w:rFonts w:eastAsia="仿宋"/>
                <w:b w:val="0"/>
                <w:color w:val="auto"/>
              </w:rPr>
            </w:pPr>
            <w:r>
              <w:rPr>
                <w:rStyle w:val="9"/>
                <w:rFonts w:eastAsia="仿宋"/>
                <w:b w:val="0"/>
                <w:color w:val="auto"/>
              </w:rPr>
              <w:t>蛋白质O-GlcNAc糖基化修饰的生物学功能</w:t>
            </w:r>
          </w:p>
        </w:tc>
      </w:tr>
      <w:tr w14:paraId="07FC9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014" w:type="dxa"/>
            <w:vAlign w:val="center"/>
          </w:tcPr>
          <w:p w14:paraId="6AB18305">
            <w:pPr>
              <w:jc w:val="center"/>
              <w:rPr>
                <w:rStyle w:val="9"/>
                <w:rFonts w:eastAsia="仿宋"/>
                <w:b w:val="0"/>
                <w:color w:val="auto"/>
                <w:sz w:val="28"/>
              </w:rPr>
            </w:pPr>
            <w:r>
              <w:rPr>
                <w:rStyle w:val="9"/>
                <w:rFonts w:eastAsia="仿宋"/>
                <w:b w:val="0"/>
                <w:color w:val="auto"/>
                <w:sz w:val="28"/>
              </w:rPr>
              <w:t>提名等级</w:t>
            </w:r>
          </w:p>
        </w:tc>
        <w:tc>
          <w:tcPr>
            <w:tcW w:w="6492" w:type="dxa"/>
            <w:vAlign w:val="center"/>
          </w:tcPr>
          <w:p w14:paraId="36FC4C01">
            <w:pPr>
              <w:jc w:val="center"/>
              <w:rPr>
                <w:rStyle w:val="9"/>
                <w:rFonts w:eastAsia="仿宋"/>
                <w:b w:val="0"/>
                <w:color w:val="auto"/>
              </w:rPr>
            </w:pPr>
            <w:r>
              <w:rPr>
                <w:rStyle w:val="9"/>
                <w:rFonts w:eastAsia="仿宋"/>
                <w:b w:val="0"/>
                <w:color w:val="auto"/>
              </w:rPr>
              <w:t>二等奖</w:t>
            </w:r>
          </w:p>
        </w:tc>
      </w:tr>
      <w:tr w14:paraId="1E444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014" w:type="dxa"/>
            <w:vAlign w:val="center"/>
          </w:tcPr>
          <w:p w14:paraId="017FC2E0">
            <w:pPr>
              <w:spacing w:line="440" w:lineRule="exact"/>
              <w:jc w:val="center"/>
              <w:rPr>
                <w:rFonts w:eastAsia="仿宋"/>
                <w:bCs/>
                <w:sz w:val="28"/>
                <w:szCs w:val="24"/>
              </w:rPr>
            </w:pPr>
            <w:r>
              <w:rPr>
                <w:rFonts w:eastAsia="仿宋"/>
                <w:bCs/>
                <w:sz w:val="28"/>
                <w:szCs w:val="24"/>
              </w:rPr>
              <w:t>提名书</w:t>
            </w:r>
          </w:p>
          <w:p w14:paraId="1D63C8E5">
            <w:pPr>
              <w:spacing w:line="440" w:lineRule="exact"/>
              <w:jc w:val="center"/>
              <w:rPr>
                <w:rFonts w:eastAsia="仿宋"/>
                <w:bCs/>
                <w:sz w:val="28"/>
                <w:szCs w:val="24"/>
              </w:rPr>
            </w:pPr>
            <w:r>
              <w:rPr>
                <w:rFonts w:eastAsia="仿宋"/>
                <w:bCs/>
                <w:sz w:val="28"/>
                <w:szCs w:val="24"/>
              </w:rPr>
              <w:t>相关内容</w:t>
            </w:r>
          </w:p>
        </w:tc>
        <w:tc>
          <w:tcPr>
            <w:tcW w:w="6492" w:type="dxa"/>
            <w:vAlign w:val="center"/>
          </w:tcPr>
          <w:p w14:paraId="181EB18B">
            <w:pPr>
              <w:spacing w:line="440" w:lineRule="exact"/>
              <w:jc w:val="left"/>
              <w:rPr>
                <w:rFonts w:eastAsia="仿宋"/>
                <w:b/>
                <w:bCs/>
                <w:sz w:val="24"/>
                <w:szCs w:val="24"/>
              </w:rPr>
            </w:pPr>
            <w:r>
              <w:rPr>
                <w:rFonts w:eastAsia="仿宋"/>
                <w:b/>
                <w:bCs/>
                <w:sz w:val="24"/>
                <w:szCs w:val="24"/>
              </w:rPr>
              <w:t>代表性论文专著目录：</w:t>
            </w:r>
          </w:p>
          <w:p w14:paraId="434DF2C1">
            <w:pPr>
              <w:pStyle w:val="12"/>
              <w:numPr>
                <w:ilvl w:val="0"/>
                <w:numId w:val="1"/>
              </w:numPr>
              <w:spacing w:line="276" w:lineRule="auto"/>
              <w:ind w:firstLineChars="0"/>
              <w:rPr>
                <w:rFonts w:eastAsia="仿宋"/>
                <w:bCs/>
                <w:sz w:val="24"/>
                <w:szCs w:val="24"/>
              </w:rPr>
            </w:pPr>
            <w:r>
              <w:rPr>
                <w:rFonts w:eastAsia="仿宋"/>
                <w:sz w:val="24"/>
                <w:szCs w:val="24"/>
              </w:rPr>
              <w:t xml:space="preserve">He J, Fan Z, Tian Y, Yang W, Zhou Y, Zhu Q, Zhang W, Qin W, Yi W. Spatiotemporal Activation of Protein O-GlcNAcylation in Living Cells. J Am Chem Soc. 2022 Mar 16;144(10):4289-4293. </w:t>
            </w:r>
          </w:p>
          <w:p w14:paraId="4F323DE4">
            <w:pPr>
              <w:pStyle w:val="12"/>
              <w:numPr>
                <w:ilvl w:val="0"/>
                <w:numId w:val="1"/>
              </w:numPr>
              <w:spacing w:line="276" w:lineRule="auto"/>
              <w:ind w:firstLineChars="0"/>
              <w:rPr>
                <w:rFonts w:eastAsia="仿宋"/>
                <w:bCs/>
                <w:sz w:val="24"/>
                <w:szCs w:val="24"/>
              </w:rPr>
            </w:pPr>
            <w:r>
              <w:rPr>
                <w:rFonts w:eastAsia="仿宋"/>
                <w:bCs/>
                <w:sz w:val="24"/>
                <w:szCs w:val="24"/>
              </w:rPr>
              <w:t>Li X, Zhu Q, Shi X, Cheng Y, Li X, Xu H, Duan X, Hsieh-Wilson LC, Chu J, Pelletier J, Ni M, Zheng Z, Li S, Yi W. O-GlcNAcylation of core components of the translation initiation machinery regulates protein synthesis. Proc Natl Acad Sci U S A. 2019 Apr 16;116(16):7857-7866.</w:t>
            </w:r>
          </w:p>
          <w:p w14:paraId="3190EC33">
            <w:pPr>
              <w:pStyle w:val="12"/>
              <w:numPr>
                <w:ilvl w:val="0"/>
                <w:numId w:val="1"/>
              </w:numPr>
              <w:spacing w:line="276" w:lineRule="auto"/>
              <w:ind w:firstLineChars="0"/>
              <w:rPr>
                <w:rFonts w:eastAsia="仿宋"/>
                <w:bCs/>
                <w:sz w:val="24"/>
                <w:szCs w:val="24"/>
              </w:rPr>
            </w:pPr>
            <w:r>
              <w:rPr>
                <w:rFonts w:eastAsia="仿宋"/>
                <w:bCs/>
                <w:sz w:val="24"/>
                <w:szCs w:val="24"/>
              </w:rPr>
              <w:t>Nie H, Ju H, Fan J, Shi X, Cheng Y, Cang X, Zheng Z, Duan X, Yi W. O-GlcNAcylation of PGK1 coordinates glycolysis and TCA cycle to promote tumor growth. Nat Commun. 2020 Jan 7;11(1):36.</w:t>
            </w:r>
          </w:p>
          <w:p w14:paraId="34F97C27">
            <w:pPr>
              <w:pStyle w:val="12"/>
              <w:numPr>
                <w:ilvl w:val="0"/>
                <w:numId w:val="1"/>
              </w:numPr>
              <w:spacing w:line="276" w:lineRule="auto"/>
              <w:ind w:firstLineChars="0"/>
              <w:rPr>
                <w:rFonts w:eastAsia="仿宋"/>
                <w:bCs/>
                <w:sz w:val="24"/>
                <w:szCs w:val="24"/>
              </w:rPr>
            </w:pPr>
            <w:r>
              <w:rPr>
                <w:rFonts w:eastAsia="仿宋"/>
                <w:bCs/>
                <w:sz w:val="24"/>
                <w:szCs w:val="24"/>
              </w:rPr>
              <w:t>Zhu Q, Cheng X, Cheng Y, Chen J, Xu H, Gao Y, Duan X, Ji J, Li X, Yi W. O-GlcNAcylation regulates the methionine cycle to promote pluripotency of stem cells. Proc Natl Acad Sci U S A. 2020 Apr 7;117(14):7755-7763.</w:t>
            </w:r>
          </w:p>
          <w:p w14:paraId="522E9124">
            <w:pPr>
              <w:pStyle w:val="12"/>
              <w:numPr>
                <w:ilvl w:val="0"/>
                <w:numId w:val="1"/>
              </w:numPr>
              <w:spacing w:line="276" w:lineRule="auto"/>
              <w:ind w:firstLineChars="0"/>
              <w:rPr>
                <w:rFonts w:eastAsia="仿宋"/>
                <w:bCs/>
                <w:sz w:val="24"/>
                <w:szCs w:val="24"/>
              </w:rPr>
            </w:pPr>
            <w:r>
              <w:rPr>
                <w:rFonts w:eastAsia="仿宋"/>
                <w:bCs/>
                <w:sz w:val="24"/>
                <w:szCs w:val="24"/>
              </w:rPr>
              <w:t xml:space="preserve">Shen H, Zhao X, Chen J, Qu W, Huang X, Wang M, Shao Z, Shu Q, Li X. O-GlcNAc transferase Ogt regulates embryonic neuronal development through modulating Wnt/β-catenin signaling. Hum Mol Genet. 2021 Dec 17;31(1):57-68. </w:t>
            </w:r>
          </w:p>
          <w:p w14:paraId="480ECC93">
            <w:pPr>
              <w:pStyle w:val="12"/>
              <w:numPr>
                <w:ilvl w:val="0"/>
                <w:numId w:val="1"/>
              </w:numPr>
              <w:spacing w:line="276" w:lineRule="auto"/>
              <w:ind w:firstLineChars="0"/>
              <w:rPr>
                <w:rFonts w:eastAsia="仿宋"/>
                <w:bCs/>
                <w:sz w:val="24"/>
                <w:szCs w:val="24"/>
              </w:rPr>
            </w:pPr>
            <w:r>
              <w:rPr>
                <w:rFonts w:eastAsia="仿宋"/>
                <w:bCs/>
                <w:sz w:val="24"/>
                <w:szCs w:val="24"/>
              </w:rPr>
              <w:t>Zhang J, Wei K, Qu W, Wang M, Zhu Q, Dong X, Huang X, Yi W, Xu S, Li X. Ogt Deficiency Induces Abnormal Cerebellar Function and Behavioral Deficits of Adult Mice through Modulating RhoA/ROCK Signaling. J Neurosci. 2023 Jun 21;43(25):4559-4579.</w:t>
            </w:r>
          </w:p>
          <w:p w14:paraId="4D284DFA">
            <w:pPr>
              <w:pStyle w:val="12"/>
              <w:numPr>
                <w:ilvl w:val="0"/>
                <w:numId w:val="1"/>
              </w:numPr>
              <w:spacing w:line="276" w:lineRule="auto"/>
              <w:ind w:firstLineChars="0"/>
              <w:rPr>
                <w:rFonts w:eastAsia="仿宋"/>
                <w:bCs/>
                <w:sz w:val="24"/>
                <w:szCs w:val="24"/>
              </w:rPr>
            </w:pPr>
            <w:r>
              <w:rPr>
                <w:rFonts w:eastAsia="仿宋"/>
                <w:bCs/>
                <w:sz w:val="24"/>
                <w:szCs w:val="24"/>
              </w:rPr>
              <w:t>Dong X, Shu L, Zhang J, Yang X, Cheng X, Zhao X, Qu W, Zhu Q, Shou Y, Peng G, Sun B, Yi W, Shu Q, Li X. Ogt-mediated O-GlcNAcylation inhibits astrocytes activation through modulating NF-κB signaling pathway. J Neuroinflammation. 2023 Jun 22;20(1):146.</w:t>
            </w:r>
          </w:p>
        </w:tc>
      </w:tr>
      <w:tr w14:paraId="4F10C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014" w:type="dxa"/>
            <w:tcBorders>
              <w:right w:val="single" w:color="auto" w:sz="4" w:space="0"/>
            </w:tcBorders>
            <w:vAlign w:val="center"/>
          </w:tcPr>
          <w:p w14:paraId="3B82F8CF">
            <w:pPr>
              <w:spacing w:line="440" w:lineRule="exact"/>
              <w:jc w:val="center"/>
              <w:rPr>
                <w:rFonts w:eastAsia="仿宋"/>
                <w:bCs/>
                <w:sz w:val="28"/>
                <w:szCs w:val="24"/>
              </w:rPr>
            </w:pPr>
            <w:r>
              <w:rPr>
                <w:rFonts w:eastAsia="仿宋"/>
                <w:bCs/>
                <w:sz w:val="28"/>
                <w:szCs w:val="24"/>
              </w:rPr>
              <w:t>主要完成人</w:t>
            </w:r>
          </w:p>
        </w:tc>
        <w:tc>
          <w:tcPr>
            <w:tcW w:w="6492" w:type="dxa"/>
            <w:tcBorders>
              <w:left w:val="single" w:color="auto" w:sz="4" w:space="0"/>
            </w:tcBorders>
            <w:vAlign w:val="center"/>
          </w:tcPr>
          <w:p w14:paraId="2A900008">
            <w:pPr>
              <w:spacing w:line="440" w:lineRule="exact"/>
              <w:rPr>
                <w:rFonts w:eastAsia="仿宋"/>
                <w:bCs/>
                <w:sz w:val="24"/>
                <w:szCs w:val="24"/>
              </w:rPr>
            </w:pPr>
            <w:r>
              <w:rPr>
                <w:rFonts w:eastAsia="仿宋"/>
                <w:bCs/>
                <w:sz w:val="24"/>
                <w:szCs w:val="24"/>
              </w:rPr>
              <w:t>李学坤，排名1，教授，浙江大学医学院附属儿童医院</w:t>
            </w:r>
          </w:p>
          <w:p w14:paraId="3DB7889B">
            <w:pPr>
              <w:spacing w:line="440" w:lineRule="exact"/>
              <w:rPr>
                <w:rFonts w:eastAsia="仿宋"/>
                <w:bCs/>
                <w:sz w:val="24"/>
                <w:szCs w:val="24"/>
              </w:rPr>
            </w:pPr>
            <w:r>
              <w:rPr>
                <w:rFonts w:hint="eastAsia" w:eastAsia="仿宋"/>
                <w:bCs/>
                <w:sz w:val="24"/>
                <w:szCs w:val="24"/>
              </w:rPr>
              <w:t>易文</w:t>
            </w:r>
            <w:r>
              <w:rPr>
                <w:rFonts w:eastAsia="仿宋"/>
                <w:bCs/>
                <w:sz w:val="24"/>
                <w:szCs w:val="24"/>
              </w:rPr>
              <w:t>，排名2，</w:t>
            </w:r>
            <w:r>
              <w:rPr>
                <w:rFonts w:hint="eastAsia" w:eastAsia="仿宋"/>
                <w:bCs/>
                <w:sz w:val="24"/>
                <w:szCs w:val="24"/>
              </w:rPr>
              <w:t>教授</w:t>
            </w:r>
            <w:r>
              <w:rPr>
                <w:rFonts w:eastAsia="仿宋"/>
                <w:bCs/>
                <w:sz w:val="24"/>
                <w:szCs w:val="24"/>
              </w:rPr>
              <w:t>，</w:t>
            </w:r>
            <w:r>
              <w:rPr>
                <w:rFonts w:hint="eastAsia" w:eastAsia="仿宋"/>
                <w:bCs/>
                <w:sz w:val="24"/>
                <w:szCs w:val="24"/>
              </w:rPr>
              <w:t>浙江大学</w:t>
            </w:r>
          </w:p>
          <w:p w14:paraId="45007734">
            <w:pPr>
              <w:spacing w:line="440" w:lineRule="exact"/>
              <w:rPr>
                <w:rFonts w:eastAsia="仿宋"/>
                <w:bCs/>
                <w:sz w:val="24"/>
                <w:szCs w:val="24"/>
              </w:rPr>
            </w:pPr>
            <w:r>
              <w:rPr>
                <w:rFonts w:hint="eastAsia" w:eastAsia="仿宋"/>
                <w:bCs/>
                <w:sz w:val="24"/>
                <w:szCs w:val="24"/>
              </w:rPr>
              <w:t>张金羽</w:t>
            </w:r>
            <w:r>
              <w:rPr>
                <w:rFonts w:eastAsia="仿宋"/>
                <w:bCs/>
                <w:sz w:val="24"/>
                <w:szCs w:val="24"/>
              </w:rPr>
              <w:t>，排名3，</w:t>
            </w:r>
            <w:r>
              <w:rPr>
                <w:rFonts w:hint="eastAsia" w:eastAsia="仿宋"/>
                <w:bCs/>
                <w:sz w:val="24"/>
                <w:szCs w:val="24"/>
              </w:rPr>
              <w:t>无</w:t>
            </w:r>
            <w:r>
              <w:rPr>
                <w:rFonts w:eastAsia="仿宋"/>
                <w:bCs/>
                <w:sz w:val="24"/>
                <w:szCs w:val="24"/>
              </w:rPr>
              <w:t>，</w:t>
            </w:r>
            <w:r>
              <w:rPr>
                <w:rFonts w:hint="eastAsia" w:eastAsia="仿宋"/>
                <w:bCs/>
                <w:sz w:val="24"/>
                <w:szCs w:val="24"/>
              </w:rPr>
              <w:t>浙江大学滨江研究院</w:t>
            </w:r>
          </w:p>
          <w:p w14:paraId="3DE9D803">
            <w:pPr>
              <w:spacing w:line="440" w:lineRule="exact"/>
              <w:rPr>
                <w:rFonts w:eastAsia="仿宋"/>
                <w:bCs/>
                <w:sz w:val="24"/>
                <w:szCs w:val="24"/>
              </w:rPr>
            </w:pPr>
            <w:r>
              <w:rPr>
                <w:rFonts w:hint="eastAsia" w:eastAsia="仿宋"/>
                <w:bCs/>
                <w:sz w:val="24"/>
                <w:szCs w:val="24"/>
              </w:rPr>
              <w:t>朱强</w:t>
            </w:r>
            <w:r>
              <w:rPr>
                <w:rFonts w:eastAsia="仿宋"/>
                <w:bCs/>
                <w:sz w:val="24"/>
                <w:szCs w:val="24"/>
              </w:rPr>
              <w:t>，排名4，</w:t>
            </w:r>
            <w:r>
              <w:rPr>
                <w:rFonts w:hint="eastAsia" w:eastAsia="仿宋"/>
                <w:bCs/>
                <w:sz w:val="24"/>
                <w:szCs w:val="24"/>
              </w:rPr>
              <w:t>研究员</w:t>
            </w:r>
            <w:r>
              <w:rPr>
                <w:rFonts w:eastAsia="仿宋"/>
                <w:bCs/>
                <w:sz w:val="24"/>
                <w:szCs w:val="24"/>
              </w:rPr>
              <w:t>，</w:t>
            </w:r>
            <w:r>
              <w:rPr>
                <w:rFonts w:hint="eastAsia" w:eastAsia="仿宋"/>
                <w:bCs/>
                <w:sz w:val="24"/>
                <w:szCs w:val="24"/>
              </w:rPr>
              <w:t>浙江大学</w:t>
            </w:r>
          </w:p>
        </w:tc>
      </w:tr>
      <w:tr w14:paraId="77718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2014" w:type="dxa"/>
            <w:tcBorders>
              <w:right w:val="single" w:color="auto" w:sz="4" w:space="0"/>
            </w:tcBorders>
            <w:vAlign w:val="center"/>
          </w:tcPr>
          <w:p w14:paraId="51D2AAF5">
            <w:pPr>
              <w:spacing w:line="440" w:lineRule="exact"/>
              <w:jc w:val="center"/>
              <w:rPr>
                <w:rFonts w:eastAsia="仿宋"/>
                <w:bCs/>
                <w:sz w:val="24"/>
                <w:szCs w:val="24"/>
              </w:rPr>
            </w:pPr>
            <w:r>
              <w:rPr>
                <w:rFonts w:eastAsia="仿宋"/>
                <w:bCs/>
                <w:sz w:val="28"/>
                <w:szCs w:val="24"/>
              </w:rPr>
              <w:t>主要完成单位</w:t>
            </w:r>
          </w:p>
        </w:tc>
        <w:tc>
          <w:tcPr>
            <w:tcW w:w="6492" w:type="dxa"/>
            <w:tcBorders>
              <w:left w:val="single" w:color="auto" w:sz="4" w:space="0"/>
            </w:tcBorders>
            <w:vAlign w:val="center"/>
          </w:tcPr>
          <w:p w14:paraId="3477680C">
            <w:pPr>
              <w:pStyle w:val="12"/>
              <w:numPr>
                <w:ilvl w:val="0"/>
                <w:numId w:val="2"/>
              </w:numPr>
              <w:spacing w:line="440" w:lineRule="exact"/>
              <w:ind w:firstLineChars="0"/>
              <w:rPr>
                <w:rFonts w:eastAsia="仿宋"/>
                <w:bCs/>
                <w:sz w:val="24"/>
                <w:szCs w:val="24"/>
              </w:rPr>
            </w:pPr>
            <w:r>
              <w:rPr>
                <w:rFonts w:eastAsia="仿宋"/>
                <w:bCs/>
                <w:sz w:val="24"/>
                <w:szCs w:val="24"/>
              </w:rPr>
              <w:t>浙江大学医学院附属儿童医院</w:t>
            </w:r>
          </w:p>
          <w:p w14:paraId="15AC5E14">
            <w:pPr>
              <w:pStyle w:val="12"/>
              <w:numPr>
                <w:ilvl w:val="0"/>
                <w:numId w:val="2"/>
              </w:numPr>
              <w:spacing w:line="440" w:lineRule="exact"/>
              <w:ind w:firstLineChars="0"/>
              <w:rPr>
                <w:rFonts w:eastAsia="仿宋"/>
                <w:bCs/>
                <w:sz w:val="24"/>
                <w:szCs w:val="24"/>
              </w:rPr>
            </w:pPr>
            <w:r>
              <w:rPr>
                <w:rFonts w:hint="eastAsia" w:eastAsia="仿宋"/>
                <w:bCs/>
                <w:sz w:val="24"/>
                <w:szCs w:val="24"/>
              </w:rPr>
              <w:t>浙江大学</w:t>
            </w:r>
          </w:p>
          <w:p w14:paraId="19F56D5F">
            <w:pPr>
              <w:pStyle w:val="12"/>
              <w:numPr>
                <w:ilvl w:val="0"/>
                <w:numId w:val="2"/>
              </w:numPr>
              <w:spacing w:line="440" w:lineRule="exact"/>
              <w:ind w:firstLineChars="0"/>
              <w:rPr>
                <w:rFonts w:eastAsia="仿宋"/>
                <w:bCs/>
                <w:sz w:val="24"/>
                <w:szCs w:val="24"/>
              </w:rPr>
            </w:pPr>
            <w:r>
              <w:rPr>
                <w:rFonts w:eastAsia="仿宋"/>
                <w:bCs/>
                <w:sz w:val="24"/>
                <w:szCs w:val="24"/>
              </w:rPr>
              <w:t>浙江大学滨江研究院</w:t>
            </w:r>
          </w:p>
        </w:tc>
      </w:tr>
      <w:tr w14:paraId="375E8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014" w:type="dxa"/>
            <w:vAlign w:val="center"/>
          </w:tcPr>
          <w:p w14:paraId="5A227DC3">
            <w:pPr>
              <w:jc w:val="center"/>
              <w:rPr>
                <w:rStyle w:val="9"/>
                <w:rFonts w:eastAsia="仿宋"/>
                <w:b w:val="0"/>
                <w:color w:val="auto"/>
                <w:sz w:val="28"/>
                <w:szCs w:val="28"/>
              </w:rPr>
            </w:pPr>
            <w:r>
              <w:rPr>
                <w:rStyle w:val="9"/>
                <w:rFonts w:eastAsia="仿宋"/>
                <w:b w:val="0"/>
                <w:color w:val="auto"/>
                <w:sz w:val="28"/>
                <w:szCs w:val="28"/>
              </w:rPr>
              <w:t>提名单位</w:t>
            </w:r>
          </w:p>
        </w:tc>
        <w:tc>
          <w:tcPr>
            <w:tcW w:w="6492" w:type="dxa"/>
            <w:vAlign w:val="center"/>
          </w:tcPr>
          <w:p w14:paraId="783F81AC">
            <w:pPr>
              <w:contextualSpacing/>
              <w:jc w:val="center"/>
              <w:rPr>
                <w:rStyle w:val="9"/>
                <w:rFonts w:eastAsia="仿宋"/>
                <w:b w:val="0"/>
                <w:color w:val="auto"/>
              </w:rPr>
            </w:pPr>
            <w:r>
              <w:rPr>
                <w:rStyle w:val="9"/>
                <w:rFonts w:eastAsia="仿宋"/>
                <w:b w:val="0"/>
                <w:color w:val="auto"/>
              </w:rPr>
              <w:t>浙江大学</w:t>
            </w:r>
          </w:p>
        </w:tc>
      </w:tr>
      <w:tr w14:paraId="33C6C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trPr>
        <w:tc>
          <w:tcPr>
            <w:tcW w:w="2014" w:type="dxa"/>
            <w:vAlign w:val="center"/>
          </w:tcPr>
          <w:p w14:paraId="40CF35E5">
            <w:pPr>
              <w:jc w:val="center"/>
              <w:rPr>
                <w:rStyle w:val="9"/>
                <w:rFonts w:eastAsia="仿宋"/>
                <w:b w:val="0"/>
                <w:color w:val="auto"/>
                <w:sz w:val="28"/>
                <w:szCs w:val="28"/>
              </w:rPr>
            </w:pPr>
            <w:bookmarkStart w:id="0" w:name="_GoBack"/>
            <w:r>
              <w:rPr>
                <w:rStyle w:val="9"/>
                <w:rFonts w:eastAsia="仿宋"/>
                <w:b w:val="0"/>
                <w:color w:val="auto"/>
                <w:sz w:val="28"/>
                <w:szCs w:val="28"/>
              </w:rPr>
              <w:t>提名意见</w:t>
            </w:r>
          </w:p>
        </w:tc>
        <w:tc>
          <w:tcPr>
            <w:tcW w:w="6492" w:type="dxa"/>
            <w:vAlign w:val="center"/>
          </w:tcPr>
          <w:p w14:paraId="5A7F859E">
            <w:pPr>
              <w:ind w:firstLine="480" w:firstLineChars="200"/>
              <w:contextualSpacing/>
              <w:rPr>
                <w:rFonts w:eastAsia="仿宋"/>
                <w:sz w:val="24"/>
                <w:szCs w:val="24"/>
              </w:rPr>
            </w:pPr>
            <w:r>
              <w:rPr>
                <w:rFonts w:hint="eastAsia" w:eastAsia="仿宋"/>
                <w:sz w:val="24"/>
                <w:szCs w:val="24"/>
              </w:rPr>
              <w:t>关于蛋白修饰的功能与机制研究是当前生命科学研究中的前沿和热点领域。本成果研究阐明了蛋白质O-GlcNAc糖基化（O-GlcNAcylation）修饰在蛋白质翻译、肿瘤进展、干细胞调控、神经发育和星形胶质细胞稳态中的重要调控作用，首次揭示了Ogt介导的O-GlcNAc糖基化修饰调控蛋白质翻译、肿瘤进展、干细胞调控、神经发育和星形胶质细胞稳态的分子机制。本研究为认识蛋白质O-GlcNAc糖基化的生物学作用提供了新的科学依据，为相关疾病的治疗提供了新的思路和靶点，具备很高的科学价值和较好的临床应用前景。</w:t>
            </w:r>
          </w:p>
          <w:p w14:paraId="627B6B0D">
            <w:pPr>
              <w:ind w:firstLine="480" w:firstLineChars="200"/>
              <w:contextualSpacing/>
              <w:rPr>
                <w:rStyle w:val="9"/>
                <w:rFonts w:eastAsia="仿宋"/>
                <w:b w:val="0"/>
                <w:color w:val="auto"/>
              </w:rPr>
            </w:pPr>
            <w:r>
              <w:rPr>
                <w:rFonts w:hint="eastAsia" w:eastAsia="仿宋"/>
                <w:sz w:val="24"/>
                <w:szCs w:val="24"/>
              </w:rPr>
              <w:t>该成果研究在多个国家级项目的共同资助下，完成并发表了高水平论文7篇。研究选题新颖，设计严谨，思路清晰，研究手段先进，观察指标全面，结论可信，同意提名该成果为浙江省自然科学奖二等奖。</w:t>
            </w:r>
          </w:p>
        </w:tc>
      </w:tr>
      <w:bookmarkEnd w:id="0"/>
    </w:tbl>
    <w:p w14:paraId="6BA73754">
      <w:pPr>
        <w:adjustRightInd w:val="0"/>
        <w:snapToGrid w:val="0"/>
        <w:spacing w:line="560" w:lineRule="exact"/>
        <w:rPr>
          <w:rFonts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05C06"/>
    <w:multiLevelType w:val="multilevel"/>
    <w:tmpl w:val="77705C06"/>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3E68C5"/>
    <w:multiLevelType w:val="multilevel"/>
    <w:tmpl w:val="7A3E68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01AED"/>
    <w:rsid w:val="000146F6"/>
    <w:rsid w:val="00036FAD"/>
    <w:rsid w:val="000516BC"/>
    <w:rsid w:val="000928A4"/>
    <w:rsid w:val="000968E5"/>
    <w:rsid w:val="000C3610"/>
    <w:rsid w:val="000E1D3D"/>
    <w:rsid w:val="000E3D30"/>
    <w:rsid w:val="00115D63"/>
    <w:rsid w:val="001251D6"/>
    <w:rsid w:val="00125D4C"/>
    <w:rsid w:val="00132401"/>
    <w:rsid w:val="00133F51"/>
    <w:rsid w:val="00134B80"/>
    <w:rsid w:val="0013587A"/>
    <w:rsid w:val="00136292"/>
    <w:rsid w:val="00161F31"/>
    <w:rsid w:val="00166C97"/>
    <w:rsid w:val="001715A9"/>
    <w:rsid w:val="00185142"/>
    <w:rsid w:val="00190953"/>
    <w:rsid w:val="00195FD2"/>
    <w:rsid w:val="001A331D"/>
    <w:rsid w:val="001A58FE"/>
    <w:rsid w:val="001B5F08"/>
    <w:rsid w:val="001E3076"/>
    <w:rsid w:val="001E55D3"/>
    <w:rsid w:val="001F0CF2"/>
    <w:rsid w:val="001F5E45"/>
    <w:rsid w:val="00236F93"/>
    <w:rsid w:val="00241AB1"/>
    <w:rsid w:val="00242118"/>
    <w:rsid w:val="00242A46"/>
    <w:rsid w:val="002551B4"/>
    <w:rsid w:val="0026058B"/>
    <w:rsid w:val="00275869"/>
    <w:rsid w:val="00277C1B"/>
    <w:rsid w:val="00282E64"/>
    <w:rsid w:val="002B723F"/>
    <w:rsid w:val="002C6299"/>
    <w:rsid w:val="002E23A9"/>
    <w:rsid w:val="002E3D78"/>
    <w:rsid w:val="002F63B6"/>
    <w:rsid w:val="00313D3A"/>
    <w:rsid w:val="0034197B"/>
    <w:rsid w:val="00375AB4"/>
    <w:rsid w:val="003776B9"/>
    <w:rsid w:val="003B2E56"/>
    <w:rsid w:val="003B60C5"/>
    <w:rsid w:val="003F349B"/>
    <w:rsid w:val="004651C8"/>
    <w:rsid w:val="00475FC2"/>
    <w:rsid w:val="00487345"/>
    <w:rsid w:val="00495071"/>
    <w:rsid w:val="004A1BA0"/>
    <w:rsid w:val="004A441C"/>
    <w:rsid w:val="004C6BBC"/>
    <w:rsid w:val="004D1DB0"/>
    <w:rsid w:val="004F482C"/>
    <w:rsid w:val="00523A58"/>
    <w:rsid w:val="00556C54"/>
    <w:rsid w:val="005822A6"/>
    <w:rsid w:val="005956FF"/>
    <w:rsid w:val="005B3C7C"/>
    <w:rsid w:val="005C73AB"/>
    <w:rsid w:val="005D1192"/>
    <w:rsid w:val="005E02F4"/>
    <w:rsid w:val="005F05CE"/>
    <w:rsid w:val="006142A3"/>
    <w:rsid w:val="00645C11"/>
    <w:rsid w:val="006867A0"/>
    <w:rsid w:val="0068738A"/>
    <w:rsid w:val="00687BFD"/>
    <w:rsid w:val="006A655C"/>
    <w:rsid w:val="006C4552"/>
    <w:rsid w:val="006D6B9B"/>
    <w:rsid w:val="006E3363"/>
    <w:rsid w:val="006E5A73"/>
    <w:rsid w:val="006F76AA"/>
    <w:rsid w:val="00706FA9"/>
    <w:rsid w:val="00715E3F"/>
    <w:rsid w:val="007267E6"/>
    <w:rsid w:val="00730660"/>
    <w:rsid w:val="00747BF3"/>
    <w:rsid w:val="00770516"/>
    <w:rsid w:val="00781F0E"/>
    <w:rsid w:val="00785AD3"/>
    <w:rsid w:val="00794A68"/>
    <w:rsid w:val="007958CC"/>
    <w:rsid w:val="007A378A"/>
    <w:rsid w:val="007B2DEC"/>
    <w:rsid w:val="007B5BC1"/>
    <w:rsid w:val="007B6456"/>
    <w:rsid w:val="007B7A29"/>
    <w:rsid w:val="007C14B9"/>
    <w:rsid w:val="007C15E8"/>
    <w:rsid w:val="007C59F4"/>
    <w:rsid w:val="007D3404"/>
    <w:rsid w:val="007D7E14"/>
    <w:rsid w:val="007E24AE"/>
    <w:rsid w:val="007F1FF5"/>
    <w:rsid w:val="00802BC5"/>
    <w:rsid w:val="0083018C"/>
    <w:rsid w:val="00832673"/>
    <w:rsid w:val="00835910"/>
    <w:rsid w:val="0084737F"/>
    <w:rsid w:val="008A7C09"/>
    <w:rsid w:val="008C2A3D"/>
    <w:rsid w:val="0096762A"/>
    <w:rsid w:val="0097140F"/>
    <w:rsid w:val="009C3E49"/>
    <w:rsid w:val="009D6458"/>
    <w:rsid w:val="009E634C"/>
    <w:rsid w:val="009E7D0D"/>
    <w:rsid w:val="00A3535F"/>
    <w:rsid w:val="00AC1FB5"/>
    <w:rsid w:val="00AD2D1B"/>
    <w:rsid w:val="00B272D7"/>
    <w:rsid w:val="00B60BEF"/>
    <w:rsid w:val="00B902B8"/>
    <w:rsid w:val="00B949A6"/>
    <w:rsid w:val="00B94F44"/>
    <w:rsid w:val="00BB19B3"/>
    <w:rsid w:val="00BD7D0D"/>
    <w:rsid w:val="00BF2ADF"/>
    <w:rsid w:val="00BF4C3C"/>
    <w:rsid w:val="00C03101"/>
    <w:rsid w:val="00C03F73"/>
    <w:rsid w:val="00C0493E"/>
    <w:rsid w:val="00C059B0"/>
    <w:rsid w:val="00C110EC"/>
    <w:rsid w:val="00C77A74"/>
    <w:rsid w:val="00C848EC"/>
    <w:rsid w:val="00CE54D9"/>
    <w:rsid w:val="00D054E8"/>
    <w:rsid w:val="00D05779"/>
    <w:rsid w:val="00D07637"/>
    <w:rsid w:val="00D1785D"/>
    <w:rsid w:val="00D2169F"/>
    <w:rsid w:val="00D5306B"/>
    <w:rsid w:val="00D83DEF"/>
    <w:rsid w:val="00DA2280"/>
    <w:rsid w:val="00DB37B6"/>
    <w:rsid w:val="00DC0BA6"/>
    <w:rsid w:val="00DE62F7"/>
    <w:rsid w:val="00E06D7B"/>
    <w:rsid w:val="00E776DC"/>
    <w:rsid w:val="00E83327"/>
    <w:rsid w:val="00EA2C74"/>
    <w:rsid w:val="00EC3719"/>
    <w:rsid w:val="00EE2104"/>
    <w:rsid w:val="00EF00E2"/>
    <w:rsid w:val="00EF1B4B"/>
    <w:rsid w:val="00F11BAC"/>
    <w:rsid w:val="00F12FDE"/>
    <w:rsid w:val="00F27AAA"/>
    <w:rsid w:val="00F3463A"/>
    <w:rsid w:val="00F75D5E"/>
    <w:rsid w:val="00F80EC8"/>
    <w:rsid w:val="00FB0AB0"/>
    <w:rsid w:val="00FC7694"/>
    <w:rsid w:val="00FF4A12"/>
    <w:rsid w:val="4CB8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8"/>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标题 1 字符"/>
    <w:basedOn w:val="6"/>
    <w:link w:val="2"/>
    <w:qFormat/>
    <w:uiPriority w:val="9"/>
    <w:rPr>
      <w:rFonts w:ascii="Times New Roman" w:hAnsi="Times New Roman" w:eastAsia="宋体" w:cs="Times New Roman"/>
      <w:b/>
      <w:bCs/>
      <w:kern w:val="44"/>
      <w:sz w:val="44"/>
      <w:szCs w:val="44"/>
    </w:rPr>
  </w:style>
  <w:style w:type="character" w:customStyle="1" w:styleId="9">
    <w:name w:val="title1"/>
    <w:qFormat/>
    <w:uiPriority w:val="0"/>
    <w:rPr>
      <w:b/>
      <w:bCs/>
      <w:color w:val="999900"/>
      <w:sz w:val="24"/>
      <w:szCs w:val="24"/>
    </w:rPr>
  </w:style>
  <w:style w:type="character" w:customStyle="1" w:styleId="10">
    <w:name w:val="页眉 字符"/>
    <w:basedOn w:val="6"/>
    <w:link w:val="4"/>
    <w:uiPriority w:val="99"/>
    <w:rPr>
      <w:rFonts w:ascii="Times New Roman" w:hAnsi="Times New Roman" w:eastAsia="宋体" w:cs="Times New Roman"/>
      <w:sz w:val="18"/>
      <w:szCs w:val="18"/>
    </w:rPr>
  </w:style>
  <w:style w:type="character" w:customStyle="1" w:styleId="11">
    <w:name w:val="页脚 字符"/>
    <w:basedOn w:val="6"/>
    <w:link w:val="3"/>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775</Words>
  <Characters>1833</Characters>
  <Lines>15</Lines>
  <Paragraphs>4</Paragraphs>
  <TotalTime>30</TotalTime>
  <ScaleCrop>false</ScaleCrop>
  <LinksUpToDate>false</LinksUpToDate>
  <CharactersWithSpaces>2106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2025-09-10T06:11:00Z</dcterms:created>
  <dc:creator>ZJU</dc:creator>
  <cp:lastModifiedBy>Dell</cp:lastModifiedBy>
  <dcterms:modified xsi:type="dcterms:W3CDTF">2025-09-10T09:00:24Z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9DD7CCFB98644D5DA5722815FBD1804A_13</vt:lpwstr>
  </property>
</Properties>
</file>