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21F4BD"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r>
        <w:rPr>
          <w:rStyle w:val="36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20B6D97E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提名奖项：（科学技术进步奖）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31E8E6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21C280A8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3DCE6441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bookmarkStart w:id="9" w:name="_GoBack"/>
            <w:r>
              <w:rPr>
                <w:rStyle w:val="36"/>
                <w:rFonts w:hint="eastAsia" w:eastAsia="仿宋_GB2312"/>
                <w:b w:val="0"/>
                <w:color w:val="auto"/>
                <w:sz w:val="28"/>
              </w:rPr>
              <w:t>多脏器衰竭预警与干预关键技术应用与推广</w:t>
            </w:r>
            <w:bookmarkEnd w:id="9"/>
          </w:p>
        </w:tc>
      </w:tr>
      <w:tr w14:paraId="6B4F77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 w14:paraId="4EDCFB7A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0EA85848">
            <w:pPr>
              <w:jc w:val="center"/>
              <w:rPr>
                <w:rStyle w:val="36"/>
                <w:rFonts w:hint="default" w:eastAsia="仿宋_GB2312"/>
                <w:b w:val="0"/>
                <w:color w:val="auto"/>
                <w:sz w:val="28"/>
                <w:lang w:val="en-US" w:eastAsia="zh-CN"/>
              </w:rPr>
            </w:pPr>
            <w:r>
              <w:rPr>
                <w:rStyle w:val="36"/>
                <w:rFonts w:hint="eastAsia" w:eastAsia="仿宋_GB2312"/>
                <w:b w:val="0"/>
                <w:color w:val="auto"/>
                <w:sz w:val="28"/>
                <w:lang w:val="en-US" w:eastAsia="zh-CN"/>
              </w:rPr>
              <w:t>二等奖</w:t>
            </w:r>
          </w:p>
        </w:tc>
      </w:tr>
      <w:tr w14:paraId="7F1BA8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2269" w:type="dxa"/>
            <w:vAlign w:val="center"/>
          </w:tcPr>
          <w:p w14:paraId="629FD6AD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28FB9CAA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5F3493EC">
            <w:pPr>
              <w:spacing w:line="440" w:lineRule="exact"/>
              <w:jc w:val="left"/>
              <w:rPr>
                <w:rFonts w:hint="default" w:ascii="方正仿宋_GB2312" w:hAnsi="方正仿宋_GB2312" w:eastAsia="方正仿宋_GB2312" w:cs="方正仿宋_GB2312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val="en-US" w:eastAsia="zh-CN"/>
              </w:rPr>
              <w:t>见附件1、2。</w:t>
            </w:r>
          </w:p>
        </w:tc>
      </w:tr>
      <w:tr w14:paraId="10B0B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631AAE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11922F03">
            <w:pPr>
              <w:spacing w:line="440" w:lineRule="exact"/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val="en-US" w:eastAsia="zh-CN"/>
              </w:rPr>
              <w:t>黄曼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  <w:t>，排名1，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val="en-US" w:eastAsia="zh-CN"/>
              </w:rPr>
              <w:t>主任医师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  <w:t>，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val="en-US" w:eastAsia="zh-CN"/>
              </w:rPr>
              <w:t>浙江大学医学院附属第二医院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  <w:t>；</w:t>
            </w:r>
          </w:p>
          <w:p w14:paraId="302246FB">
            <w:pPr>
              <w:spacing w:line="440" w:lineRule="exact"/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val="en-US" w:eastAsia="zh-CN"/>
              </w:rPr>
              <w:t>冯友军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  <w:t>，排名2，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val="en-US" w:eastAsia="zh-CN"/>
              </w:rPr>
              <w:t>教授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  <w:t>，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val="en-US" w:eastAsia="zh-CN"/>
              </w:rPr>
              <w:t>浙江大学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  <w:t>；</w:t>
            </w:r>
          </w:p>
          <w:p w14:paraId="2E09CA33">
            <w:pPr>
              <w:spacing w:line="440" w:lineRule="exact"/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val="en-US" w:eastAsia="zh-CN"/>
              </w:rPr>
              <w:t>陈静瑜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  <w:t>，排名3，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val="en-US" w:eastAsia="zh-CN"/>
              </w:rPr>
              <w:t>主任医师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  <w:t>，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val="en-US" w:eastAsia="zh-CN"/>
              </w:rPr>
              <w:t>浙江大学医学院附属第二医院/无锡市人民医院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  <w:t>；</w:t>
            </w:r>
          </w:p>
          <w:p w14:paraId="489ED726">
            <w:pPr>
              <w:spacing w:line="440" w:lineRule="exact"/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</w:pPr>
          </w:p>
        </w:tc>
      </w:tr>
      <w:tr w14:paraId="02AD81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66853C20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20608480">
            <w:pPr>
              <w:spacing w:line="440" w:lineRule="exact"/>
              <w:jc w:val="left"/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  <w:t>1.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val="en-US" w:eastAsia="zh-CN"/>
              </w:rPr>
              <w:t>浙江大学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eastAsia="zh-CN"/>
              </w:rPr>
              <w:t>；</w:t>
            </w:r>
          </w:p>
          <w:p w14:paraId="31C7D30E">
            <w:pPr>
              <w:spacing w:line="440" w:lineRule="exact"/>
              <w:jc w:val="left"/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  <w:t>2.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val="en-US" w:eastAsia="zh-CN"/>
              </w:rPr>
              <w:t>浙江大学医学院附属第二医院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eastAsia="zh-CN"/>
              </w:rPr>
              <w:t>；</w:t>
            </w:r>
          </w:p>
          <w:p w14:paraId="59F88E89">
            <w:pPr>
              <w:spacing w:line="440" w:lineRule="exact"/>
              <w:jc w:val="left"/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  <w:t>3.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val="en-US" w:eastAsia="zh-CN"/>
              </w:rPr>
              <w:t>无锡市人民医院</w:t>
            </w:r>
            <w:r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  <w:lang w:eastAsia="zh-CN"/>
              </w:rPr>
              <w:t>；</w:t>
            </w:r>
          </w:p>
          <w:p w14:paraId="2F80FE6E">
            <w:pPr>
              <w:spacing w:line="440" w:lineRule="exact"/>
              <w:jc w:val="left"/>
              <w:rPr>
                <w:rFonts w:hint="eastAsia" w:ascii="方正仿宋_GB2312" w:hAnsi="方正仿宋_GB2312" w:eastAsia="方正仿宋_GB2312" w:cs="方正仿宋_GB2312"/>
                <w:bCs/>
                <w:sz w:val="28"/>
                <w:szCs w:val="28"/>
              </w:rPr>
            </w:pPr>
          </w:p>
        </w:tc>
      </w:tr>
      <w:tr w14:paraId="08EADE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 w14:paraId="5550C668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16D8741B">
            <w:pPr>
              <w:contextualSpacing/>
              <w:jc w:val="center"/>
              <w:rPr>
                <w:rStyle w:val="36"/>
                <w:rFonts w:hint="eastAsia" w:ascii="方正仿宋_GB2312" w:hAnsi="方正仿宋_GB2312" w:eastAsia="方正仿宋_GB2312" w:cs="方正仿宋_GB2312"/>
                <w:b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Style w:val="36"/>
                <w:rFonts w:hint="eastAsia" w:ascii="方正仿宋_GB2312" w:hAnsi="方正仿宋_GB2312" w:eastAsia="方正仿宋_GB2312" w:cs="方正仿宋_GB2312"/>
                <w:b w:val="0"/>
                <w:color w:val="auto"/>
                <w:sz w:val="28"/>
                <w:szCs w:val="28"/>
                <w:lang w:val="en-US" w:eastAsia="zh-CN"/>
              </w:rPr>
              <w:t>浙江大学</w:t>
            </w:r>
          </w:p>
        </w:tc>
      </w:tr>
      <w:tr w14:paraId="790447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356C0136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0B7740F9">
            <w:pPr>
              <w:contextualSpacing/>
              <w:jc w:val="left"/>
              <w:rPr>
                <w:rStyle w:val="36"/>
                <w:b w:val="0"/>
                <w:color w:val="auto"/>
              </w:rPr>
            </w:pPr>
            <w:r>
              <w:rPr>
                <w:rStyle w:val="36"/>
                <w:rFonts w:hint="eastAsia" w:ascii="方正仿宋_GB2312" w:hAnsi="方正仿宋_GB2312" w:eastAsia="方正仿宋_GB2312" w:cs="方正仿宋_GB2312"/>
                <w:b w:val="0"/>
                <w:color w:val="auto"/>
                <w:sz w:val="28"/>
                <w:szCs w:val="28"/>
              </w:rPr>
              <w:t>多脏器衰竭预警与干预关键技术应用与推广在</w:t>
            </w:r>
            <w:r>
              <w:rPr>
                <w:rStyle w:val="36"/>
                <w:rFonts w:hint="eastAsia" w:ascii="方正仿宋_GB2312" w:hAnsi="方正仿宋_GB2312" w:eastAsia="方正仿宋_GB2312" w:cs="方正仿宋_GB2312"/>
                <w:b w:val="0"/>
                <w:color w:val="auto"/>
                <w:sz w:val="28"/>
                <w:szCs w:val="28"/>
                <w:lang w:val="en-US" w:eastAsia="zh-CN"/>
              </w:rPr>
              <w:t>重症医学空余</w:t>
            </w:r>
            <w:r>
              <w:rPr>
                <w:rStyle w:val="36"/>
                <w:rFonts w:hint="eastAsia" w:ascii="方正仿宋_GB2312" w:hAnsi="方正仿宋_GB2312" w:eastAsia="方正仿宋_GB2312" w:cs="方正仿宋_GB2312"/>
                <w:b w:val="0"/>
                <w:color w:val="auto"/>
                <w:sz w:val="28"/>
                <w:szCs w:val="28"/>
              </w:rPr>
              <w:t>取得了显著的创新成果，其技术创新性强，应用范围广，经济效益和社会效益显著。项目成果在</w:t>
            </w:r>
            <w:r>
              <w:rPr>
                <w:rStyle w:val="36"/>
                <w:rFonts w:hint="eastAsia" w:ascii="方正仿宋_GB2312" w:hAnsi="方正仿宋_GB2312" w:eastAsia="方正仿宋_GB2312" w:cs="方正仿宋_GB2312"/>
                <w:b w:val="0"/>
                <w:color w:val="auto"/>
                <w:sz w:val="28"/>
                <w:szCs w:val="28"/>
                <w:lang w:val="en-US" w:eastAsia="zh-CN"/>
              </w:rPr>
              <w:t>多脏器衰竭早期预警和有效干预</w:t>
            </w:r>
            <w:r>
              <w:rPr>
                <w:rStyle w:val="36"/>
                <w:rFonts w:hint="eastAsia" w:ascii="方正仿宋_GB2312" w:hAnsi="方正仿宋_GB2312" w:eastAsia="方正仿宋_GB2312" w:cs="方正仿宋_GB2312"/>
                <w:b w:val="0"/>
                <w:color w:val="auto"/>
                <w:sz w:val="28"/>
                <w:szCs w:val="28"/>
              </w:rPr>
              <w:t>得到了广泛应用，为</w:t>
            </w:r>
            <w:r>
              <w:rPr>
                <w:rStyle w:val="36"/>
                <w:rFonts w:hint="eastAsia" w:ascii="方正仿宋_GB2312" w:hAnsi="方正仿宋_GB2312" w:eastAsia="方正仿宋_GB2312" w:cs="方正仿宋_GB2312"/>
                <w:b w:val="0"/>
                <w:color w:val="auto"/>
                <w:sz w:val="28"/>
                <w:szCs w:val="28"/>
                <w:lang w:val="en-US" w:eastAsia="zh-CN"/>
              </w:rPr>
              <w:t>重症医学的学科</w:t>
            </w:r>
            <w:r>
              <w:rPr>
                <w:rStyle w:val="36"/>
                <w:rFonts w:hint="eastAsia" w:ascii="方正仿宋_GB2312" w:hAnsi="方正仿宋_GB2312" w:eastAsia="方正仿宋_GB2312" w:cs="方正仿宋_GB2312"/>
                <w:b w:val="0"/>
                <w:color w:val="auto"/>
                <w:sz w:val="28"/>
                <w:szCs w:val="28"/>
              </w:rPr>
              <w:t>发展提供了有力的技术支撑。鉴于该项目在科技创新和应用推广方面的突出表现，特提名其为</w:t>
            </w:r>
            <w:r>
              <w:rPr>
                <w:rStyle w:val="36"/>
                <w:rFonts w:hint="eastAsia" w:ascii="方正仿宋_GB2312" w:hAnsi="方正仿宋_GB2312" w:eastAsia="方正仿宋_GB2312" w:cs="方正仿宋_GB2312"/>
                <w:b w:val="0"/>
                <w:color w:val="auto"/>
                <w:sz w:val="28"/>
                <w:szCs w:val="28"/>
                <w:lang w:val="en-US" w:eastAsia="zh-CN"/>
              </w:rPr>
              <w:t>浙江省</w:t>
            </w:r>
            <w:r>
              <w:rPr>
                <w:rStyle w:val="36"/>
                <w:rFonts w:hint="eastAsia" w:ascii="方正仿宋_GB2312" w:hAnsi="方正仿宋_GB2312" w:eastAsia="方正仿宋_GB2312" w:cs="方正仿宋_GB2312"/>
                <w:b w:val="0"/>
                <w:color w:val="auto"/>
                <w:sz w:val="28"/>
                <w:szCs w:val="28"/>
              </w:rPr>
              <w:t>科技进步二等奖。</w:t>
            </w:r>
          </w:p>
        </w:tc>
      </w:tr>
    </w:tbl>
    <w:p w14:paraId="11C5A927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  <w:lang w:val="en-US" w:eastAsia="zh-CN"/>
        </w:rPr>
      </w:pPr>
    </w:p>
    <w:p w14:paraId="18DCCB14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  <w:lang w:val="en-US" w:eastAsia="zh-CN"/>
        </w:rPr>
      </w:pPr>
    </w:p>
    <w:p w14:paraId="4DB44A6F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  <w:lang w:val="en-US" w:eastAsia="zh-CN"/>
        </w:rPr>
      </w:pPr>
    </w:p>
    <w:p w14:paraId="698B6457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  <w:lang w:val="en-US" w:eastAsia="zh-CN"/>
        </w:rPr>
      </w:pPr>
    </w:p>
    <w:p w14:paraId="4A7E8049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  <w:lang w:val="en-US" w:eastAsia="zh-CN"/>
        </w:rPr>
      </w:pPr>
    </w:p>
    <w:p w14:paraId="56335906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  <w:lang w:val="en-US" w:eastAsia="zh-CN"/>
        </w:rPr>
      </w:pPr>
    </w:p>
    <w:p w14:paraId="7601C3CF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  <w:lang w:val="en-US" w:eastAsia="zh-CN"/>
        </w:rPr>
      </w:pPr>
    </w:p>
    <w:p w14:paraId="4402C47F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  <w:lang w:val="en-US" w:eastAsia="zh-CN"/>
        </w:rPr>
      </w:pPr>
    </w:p>
    <w:p w14:paraId="1563194D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  <w:lang w:val="en-US" w:eastAsia="zh-CN"/>
        </w:rPr>
      </w:pPr>
    </w:p>
    <w:p w14:paraId="7B2C1E66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  <w:lang w:val="en-US" w:eastAsia="zh-CN"/>
        </w:rPr>
      </w:pPr>
    </w:p>
    <w:p w14:paraId="7590E6F3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  <w:lang w:val="en-US" w:eastAsia="zh-CN"/>
        </w:rPr>
      </w:pPr>
    </w:p>
    <w:p w14:paraId="5FAC6F35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  <w:lang w:val="en-US" w:eastAsia="zh-CN"/>
        </w:rPr>
      </w:pPr>
    </w:p>
    <w:p w14:paraId="711F52B5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  <w:lang w:val="en-US" w:eastAsia="zh-CN"/>
        </w:rPr>
      </w:pPr>
    </w:p>
    <w:p w14:paraId="485B75C6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  <w:lang w:val="en-US" w:eastAsia="zh-CN"/>
        </w:rPr>
        <w:sectPr>
          <w:headerReference r:id="rId7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FE8CA06">
      <w:pPr>
        <w:pStyle w:val="4"/>
        <w:jc w:val="left"/>
        <w:rPr>
          <w:rFonts w:hint="default" w:eastAsia="方正黑体简体"/>
          <w:sz w:val="32"/>
          <w:szCs w:val="22"/>
          <w:lang w:val="en-US" w:eastAsia="zh-CN"/>
        </w:rPr>
      </w:pPr>
      <w:r>
        <w:rPr>
          <w:rFonts w:hint="eastAsia" w:eastAsia="方正黑体简体"/>
          <w:sz w:val="32"/>
          <w:szCs w:val="22"/>
          <w:lang w:val="en-US" w:eastAsia="zh-CN"/>
        </w:rPr>
        <w:t>附件1：</w:t>
      </w:r>
    </w:p>
    <w:p w14:paraId="4F6AFA0A">
      <w:pPr>
        <w:pStyle w:val="4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主要知识产权和标准规范目录</w:t>
      </w:r>
    </w:p>
    <w:tbl>
      <w:tblPr>
        <w:tblStyle w:val="1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5"/>
        <w:gridCol w:w="2728"/>
        <w:gridCol w:w="1015"/>
        <w:gridCol w:w="1371"/>
        <w:gridCol w:w="1629"/>
        <w:gridCol w:w="1629"/>
        <w:gridCol w:w="1402"/>
        <w:gridCol w:w="1337"/>
        <w:gridCol w:w="1468"/>
      </w:tblGrid>
      <w:tr w14:paraId="44B83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0" w:hRule="atLeast"/>
        </w:trPr>
        <w:tc>
          <w:tcPr>
            <w:tcW w:w="5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81AA4"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知识产权</w:t>
            </w:r>
          </w:p>
          <w:p w14:paraId="3D6EA190"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（标准规范）类别</w:t>
            </w:r>
          </w:p>
        </w:tc>
        <w:tc>
          <w:tcPr>
            <w:tcW w:w="9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97DF9"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知识产权（标准规范）具体名称</w:t>
            </w:r>
          </w:p>
        </w:tc>
        <w:tc>
          <w:tcPr>
            <w:tcW w:w="3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3B4922"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国家</w:t>
            </w:r>
          </w:p>
          <w:p w14:paraId="36EA2869"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bCs/>
                <w:snapToGrid w:val="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bCs/>
                <w:snapToGrid w:val="0"/>
                <w:kern w:val="0"/>
                <w:sz w:val="28"/>
                <w:szCs w:val="28"/>
              </w:rPr>
              <w:t>（地区）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EC048"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授权号</w:t>
            </w:r>
          </w:p>
          <w:p w14:paraId="4E22E19C"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（标准规范编号）</w:t>
            </w:r>
          </w:p>
        </w:tc>
        <w:tc>
          <w:tcPr>
            <w:tcW w:w="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4D655"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授权</w:t>
            </w:r>
          </w:p>
          <w:p w14:paraId="22AF1EEF"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（标准发布）</w:t>
            </w:r>
          </w:p>
          <w:p w14:paraId="041D4709"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日期</w:t>
            </w:r>
          </w:p>
        </w:tc>
        <w:tc>
          <w:tcPr>
            <w:tcW w:w="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83252C"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证书编号（标准规范批准发布部门）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3E377"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权利人（标准规范起草单位）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C96933"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发明人（标准规范起草人）</w:t>
            </w: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6B5EC5"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发明专利（标准规范）有效状态</w:t>
            </w:r>
          </w:p>
        </w:tc>
      </w:tr>
      <w:tr w14:paraId="23499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F350F2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软件著作权</w:t>
            </w:r>
          </w:p>
        </w:tc>
        <w:tc>
          <w:tcPr>
            <w:tcW w:w="9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2AC93B"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重症临床科研平台[简称:重症科研平台]V1.0</w:t>
            </w:r>
          </w:p>
        </w:tc>
        <w:tc>
          <w:tcPr>
            <w:tcW w:w="3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52E272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lang w:val="en-US" w:eastAsia="zh-CN"/>
              </w:rPr>
              <w:t>中国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46E56A">
            <w:pPr>
              <w:spacing w:line="240" w:lineRule="auto"/>
              <w:jc w:val="left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sz w:val="28"/>
                <w:szCs w:val="28"/>
              </w:rPr>
              <w:t>2024SR0648347</w:t>
            </w:r>
          </w:p>
        </w:tc>
        <w:tc>
          <w:tcPr>
            <w:tcW w:w="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CCC890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2024/5/14</w:t>
            </w:r>
          </w:p>
        </w:tc>
        <w:tc>
          <w:tcPr>
            <w:tcW w:w="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4300AF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第13052220号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C015E7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lang w:val="en-US" w:eastAsia="zh-CN"/>
              </w:rPr>
              <w:t>浙江大学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7695C9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浙江大学</w:t>
            </w: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DF4B25">
            <w:pPr>
              <w:spacing w:line="240" w:lineRule="auto"/>
              <w:rPr>
                <w:rFonts w:hint="eastAsia" w:ascii="Times New Roman" w:hAnsi="Times New Roman" w:eastAsia="方正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方正仿宋_GB2312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已授权</w:t>
            </w:r>
          </w:p>
        </w:tc>
      </w:tr>
      <w:tr w14:paraId="75039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F1BE2E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发明专利证书</w:t>
            </w:r>
          </w:p>
        </w:tc>
        <w:tc>
          <w:tcPr>
            <w:tcW w:w="9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A61A1D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中空纤维膜及其制备方法、氧合膜和氧合器</w:t>
            </w:r>
          </w:p>
        </w:tc>
        <w:tc>
          <w:tcPr>
            <w:tcW w:w="3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7BCFA2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lang w:val="en-US" w:eastAsia="zh-CN"/>
              </w:rPr>
              <w:t>中国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7DBDCC">
            <w:pPr>
              <w:bidi w:val="0"/>
              <w:jc w:val="left"/>
              <w:rPr>
                <w:rFonts w:hint="default" w:ascii="Times New Roman" w:hAnsi="Times New Roman" w:eastAsia="方正仿宋_GB2312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2"/>
                <w:sz w:val="28"/>
                <w:szCs w:val="28"/>
                <w:lang w:val="en-US" w:eastAsia="zh-CN" w:bidi="ar-SA"/>
              </w:rPr>
              <w:t>ZL202311705918.1</w:t>
            </w:r>
          </w:p>
        </w:tc>
        <w:tc>
          <w:tcPr>
            <w:tcW w:w="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1D3027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2024/3/12</w:t>
            </w:r>
          </w:p>
        </w:tc>
        <w:tc>
          <w:tcPr>
            <w:tcW w:w="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F24A2A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第6774147号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4E1D79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lang w:val="en-US" w:eastAsia="zh-CN"/>
              </w:rPr>
              <w:t>浙江大学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279423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黄曼;吴景</w:t>
            </w: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8ED224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lang w:val="en-US" w:eastAsia="zh-CN"/>
              </w:rPr>
              <w:t>已授权</w:t>
            </w:r>
          </w:p>
        </w:tc>
      </w:tr>
      <w:tr w14:paraId="757C3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56A6A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发明专利证书</w:t>
            </w:r>
          </w:p>
        </w:tc>
        <w:tc>
          <w:tcPr>
            <w:tcW w:w="9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D1A754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一种通过SOFA评分的衰减确定风险级别并进行预警的方法</w:t>
            </w:r>
          </w:p>
        </w:tc>
        <w:tc>
          <w:tcPr>
            <w:tcW w:w="3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984CF9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lang w:val="en-US" w:eastAsia="zh-CN"/>
              </w:rPr>
              <w:t>中国</w:t>
            </w: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C9604C">
            <w:pPr>
              <w:spacing w:line="240" w:lineRule="auto"/>
              <w:jc w:val="left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ZL 2024 1 0591821.0</w:t>
            </w:r>
          </w:p>
        </w:tc>
        <w:tc>
          <w:tcPr>
            <w:tcW w:w="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6E5EEC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2024/8/2</w:t>
            </w:r>
          </w:p>
        </w:tc>
        <w:tc>
          <w:tcPr>
            <w:tcW w:w="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D68DB6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第7257290号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BA3F8A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lang w:val="en-US" w:eastAsia="zh-CN"/>
              </w:rPr>
              <w:t>浙江大学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88EE1B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  <w:t>黄曼;周瑜</w:t>
            </w: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A72A20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lang w:val="en-US" w:eastAsia="zh-CN"/>
              </w:rPr>
              <w:t>已授权</w:t>
            </w:r>
          </w:p>
        </w:tc>
      </w:tr>
      <w:tr w14:paraId="7706E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6C9360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  <w:tc>
          <w:tcPr>
            <w:tcW w:w="9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CA74A5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  <w:tc>
          <w:tcPr>
            <w:tcW w:w="3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9C14DA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A68603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  <w:tc>
          <w:tcPr>
            <w:tcW w:w="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617BF4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  <w:tc>
          <w:tcPr>
            <w:tcW w:w="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50A688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E310D6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13E2E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64BC75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</w:tr>
      <w:tr w14:paraId="0AF21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5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99DA6D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  <w:tc>
          <w:tcPr>
            <w:tcW w:w="9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6E71BA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  <w:tc>
          <w:tcPr>
            <w:tcW w:w="3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3EBB6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  <w:tc>
          <w:tcPr>
            <w:tcW w:w="4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C35E5D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  <w:tc>
          <w:tcPr>
            <w:tcW w:w="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DEDC60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  <w:tc>
          <w:tcPr>
            <w:tcW w:w="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2896FF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699D2C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91E100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  <w:tc>
          <w:tcPr>
            <w:tcW w:w="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25A534">
            <w:pPr>
              <w:spacing w:line="240" w:lineRule="auto"/>
              <w:rPr>
                <w:rFonts w:hint="default" w:ascii="Times New Roman" w:hAnsi="Times New Roman" w:eastAsia="方正仿宋_GB2312" w:cs="Times New Roman"/>
                <w:sz w:val="28"/>
                <w:szCs w:val="28"/>
              </w:rPr>
            </w:pPr>
          </w:p>
        </w:tc>
      </w:tr>
    </w:tbl>
    <w:p w14:paraId="69FD8D90">
      <w:pPr>
        <w:rPr>
          <w:rFonts w:eastAsia="黑体"/>
          <w:sz w:val="32"/>
          <w:szCs w:val="32"/>
        </w:rPr>
      </w:pPr>
    </w:p>
    <w:p w14:paraId="4AAA6596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58033E19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附件2</w:t>
      </w:r>
    </w:p>
    <w:p w14:paraId="3D0009A3">
      <w:pPr>
        <w:pStyle w:val="4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代表性论文专著目录</w:t>
      </w:r>
    </w:p>
    <w:tbl>
      <w:tblPr>
        <w:tblStyle w:val="16"/>
        <w:tblW w:w="9063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3"/>
        <w:gridCol w:w="5288"/>
        <w:gridCol w:w="1157"/>
        <w:gridCol w:w="1029"/>
        <w:gridCol w:w="786"/>
      </w:tblGrid>
      <w:tr w14:paraId="5791AA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803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0311A44A">
            <w:pPr>
              <w:spacing w:line="240" w:lineRule="auto"/>
              <w:jc w:val="lef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作 者</w:t>
            </w:r>
          </w:p>
        </w:tc>
        <w:tc>
          <w:tcPr>
            <w:tcW w:w="528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56D861A8">
            <w:pPr>
              <w:spacing w:line="240" w:lineRule="auto"/>
              <w:jc w:val="both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论文专著名称/刊物</w:t>
            </w:r>
          </w:p>
        </w:tc>
        <w:tc>
          <w:tcPr>
            <w:tcW w:w="1157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6273B68">
            <w:pPr>
              <w:spacing w:line="240" w:lineRule="auto"/>
              <w:jc w:val="both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年卷</w:t>
            </w:r>
          </w:p>
          <w:p w14:paraId="6A1ED94C">
            <w:pPr>
              <w:spacing w:line="240" w:lineRule="auto"/>
              <w:jc w:val="both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页码</w:t>
            </w:r>
          </w:p>
        </w:tc>
        <w:tc>
          <w:tcPr>
            <w:tcW w:w="1029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C83349E">
            <w:pPr>
              <w:spacing w:line="240" w:lineRule="auto"/>
              <w:jc w:val="both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发表</w:t>
            </w:r>
          </w:p>
          <w:p w14:paraId="10865C7B">
            <w:pPr>
              <w:spacing w:line="240" w:lineRule="auto"/>
              <w:jc w:val="both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时间</w:t>
            </w:r>
          </w:p>
          <w:p w14:paraId="0D968E50">
            <w:pPr>
              <w:spacing w:line="240" w:lineRule="auto"/>
              <w:jc w:val="both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（年、月）</w:t>
            </w:r>
          </w:p>
        </w:tc>
        <w:tc>
          <w:tcPr>
            <w:tcW w:w="78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3DE4C4E">
            <w:pPr>
              <w:spacing w:line="240" w:lineRule="auto"/>
              <w:jc w:val="both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他引</w:t>
            </w:r>
          </w:p>
          <w:p w14:paraId="622243D8">
            <w:pPr>
              <w:spacing w:line="240" w:lineRule="auto"/>
              <w:jc w:val="both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总次数</w:t>
            </w:r>
          </w:p>
        </w:tc>
      </w:tr>
      <w:tr w14:paraId="5844AFA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1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0A528BE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黄曼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1BCE32C7">
            <w:pPr>
              <w:spacing w:line="240" w:lineRule="auto"/>
              <w:jc w:val="both"/>
              <w:rPr>
                <w:rFonts w:eastAsia="仿宋"/>
                <w:sz w:val="24"/>
                <w:szCs w:val="24"/>
              </w:rPr>
            </w:pPr>
            <w:bookmarkStart w:id="0" w:name="OLE_LINK3"/>
            <w:r>
              <w:rPr>
                <w:rFonts w:eastAsia="仿宋"/>
                <w:bCs/>
                <w:kern w:val="0"/>
                <w:sz w:val="24"/>
                <w:szCs w:val="24"/>
              </w:rPr>
              <w:t>How do we maximize the humanistic care of a long-range (36-day) venoarterial extracorporeal membrane oxygenation and successfully bridged to heart transplantation</w:t>
            </w:r>
            <w:bookmarkEnd w:id="0"/>
            <w:r>
              <w:rPr>
                <w:rFonts w:hint="eastAsia" w:eastAsia="仿宋"/>
                <w:bCs/>
                <w:kern w:val="0"/>
                <w:sz w:val="24"/>
                <w:szCs w:val="24"/>
              </w:rPr>
              <w:t>，</w:t>
            </w:r>
            <w:r>
              <w:rPr>
                <w:rFonts w:eastAsia="仿宋"/>
                <w:bCs/>
                <w:i/>
                <w:iCs/>
                <w:kern w:val="0"/>
                <w:sz w:val="24"/>
                <w:szCs w:val="24"/>
              </w:rPr>
              <w:t>Journal of Clinical Anesthesia</w:t>
            </w: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507EBA8F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2019, 58, 106-107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28C7D79E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2019.5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15A78FCF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1E3131F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5E1336AA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黄曼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2224FCEA">
            <w:pPr>
              <w:spacing w:line="240" w:lineRule="auto"/>
              <w:jc w:val="both"/>
              <w:rPr>
                <w:rFonts w:eastAsia="仿宋"/>
                <w:sz w:val="24"/>
                <w:szCs w:val="24"/>
              </w:rPr>
            </w:pPr>
            <w:bookmarkStart w:id="1" w:name="OLE_LINK4"/>
            <w:r>
              <w:rPr>
                <w:rFonts w:eastAsia="仿宋"/>
                <w:bCs/>
                <w:kern w:val="0"/>
                <w:sz w:val="24"/>
                <w:szCs w:val="24"/>
              </w:rPr>
              <w:t>Lung Transplantation in Pulmonary Fibrosis Secondary to Influenza A Pneumonia</w:t>
            </w:r>
            <w:r>
              <w:rPr>
                <w:rFonts w:hint="eastAsia" w:eastAsia="仿宋"/>
                <w:bCs/>
                <w:kern w:val="0"/>
                <w:sz w:val="24"/>
                <w:szCs w:val="24"/>
              </w:rPr>
              <w:t>，</w:t>
            </w:r>
            <w:r>
              <w:rPr>
                <w:rFonts w:eastAsia="仿宋"/>
                <w:bCs/>
                <w:i/>
                <w:iCs/>
                <w:kern w:val="0"/>
                <w:sz w:val="24"/>
                <w:szCs w:val="24"/>
              </w:rPr>
              <w:t>Annals of Thoracic Surgery</w:t>
            </w:r>
            <w:bookmarkEnd w:id="1"/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000758BB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2019, 108 (4), pp.E233-E235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34E3A87E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2019.10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1CC3CA36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14:paraId="4F4A03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0569AFC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陈静瑜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75848F9C">
            <w:pPr>
              <w:widowControl/>
              <w:spacing w:line="240" w:lineRule="auto"/>
              <w:jc w:val="both"/>
              <w:rPr>
                <w:rFonts w:eastAsia="仿宋"/>
                <w:bCs/>
                <w:kern w:val="0"/>
                <w:sz w:val="24"/>
                <w:szCs w:val="24"/>
              </w:rPr>
            </w:pPr>
            <w:r>
              <w:rPr>
                <w:rFonts w:eastAsia="仿宋"/>
                <w:bCs/>
                <w:kern w:val="0"/>
                <w:sz w:val="24"/>
                <w:szCs w:val="24"/>
              </w:rPr>
              <w:t>Pulmonary alveolar regeneration in adult COVID-19 patients</w:t>
            </w:r>
            <w:r>
              <w:rPr>
                <w:rFonts w:hint="eastAsia" w:eastAsia="仿宋"/>
                <w:bCs/>
                <w:kern w:val="0"/>
                <w:sz w:val="24"/>
                <w:szCs w:val="24"/>
              </w:rPr>
              <w:t>，</w:t>
            </w:r>
            <w:r>
              <w:rPr>
                <w:rFonts w:eastAsia="仿宋"/>
                <w:bCs/>
                <w:i/>
                <w:iCs/>
                <w:kern w:val="0"/>
                <w:sz w:val="24"/>
                <w:szCs w:val="24"/>
              </w:rPr>
              <w:t>Cell Research</w:t>
            </w: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79863A3F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2020, 30 (8), pp.708-710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2D75765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2020.8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0E4A3117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14:paraId="24EBB12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570EA78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黄曼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37DFE0F3">
            <w:pPr>
              <w:widowControl/>
              <w:spacing w:line="240" w:lineRule="auto"/>
              <w:jc w:val="both"/>
              <w:rPr>
                <w:rFonts w:eastAsia="仿宋"/>
                <w:bCs/>
                <w:kern w:val="0"/>
                <w:sz w:val="24"/>
                <w:szCs w:val="24"/>
              </w:rPr>
            </w:pPr>
            <w:r>
              <w:rPr>
                <w:rFonts w:eastAsia="仿宋"/>
                <w:bCs/>
                <w:kern w:val="0"/>
                <w:sz w:val="24"/>
                <w:szCs w:val="24"/>
              </w:rPr>
              <w:t>Effect of Interleukin-36β on Activating Autophagy of CD4+CD25+ Regulatory T cells and Its Immune Regulation in Sepsis</w:t>
            </w:r>
            <w:r>
              <w:rPr>
                <w:rFonts w:hint="eastAsia" w:eastAsia="仿宋"/>
                <w:bCs/>
                <w:kern w:val="0"/>
                <w:sz w:val="24"/>
                <w:szCs w:val="24"/>
              </w:rPr>
              <w:t>，</w:t>
            </w:r>
            <w:r>
              <w:rPr>
                <w:rFonts w:eastAsia="仿宋"/>
                <w:bCs/>
                <w:i/>
                <w:iCs/>
                <w:kern w:val="0"/>
                <w:sz w:val="24"/>
                <w:szCs w:val="24"/>
              </w:rPr>
              <w:t>Journal Of Infectious Diseases</w:t>
            </w: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22C59E93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 (9), pp.1517-1530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12612E25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2020.11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3533F285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14:paraId="421049B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00F91BE3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陈静瑜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FAF95B3">
            <w:pPr>
              <w:widowControl/>
              <w:spacing w:line="240" w:lineRule="auto"/>
              <w:jc w:val="both"/>
              <w:rPr>
                <w:rFonts w:eastAsia="仿宋"/>
                <w:bCs/>
                <w:kern w:val="0"/>
                <w:sz w:val="24"/>
                <w:szCs w:val="24"/>
              </w:rPr>
            </w:pPr>
            <w:bookmarkStart w:id="2" w:name="OLE_LINK5"/>
            <w:r>
              <w:rPr>
                <w:rFonts w:eastAsia="仿宋"/>
                <w:bCs/>
                <w:kern w:val="0"/>
                <w:sz w:val="24"/>
                <w:szCs w:val="24"/>
              </w:rPr>
              <w:t>Progressive Pulmonary Fibrosis Is Caused by</w:t>
            </w:r>
            <w:r>
              <w:rPr>
                <w:rFonts w:hint="eastAsia" w:eastAsia="仿宋"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kern w:val="0"/>
                <w:sz w:val="24"/>
                <w:szCs w:val="24"/>
              </w:rPr>
              <w:t>Elevated Mechanical Tension on Alveolar Stem Cells</w:t>
            </w:r>
            <w:r>
              <w:rPr>
                <w:rFonts w:hint="eastAsia" w:eastAsia="仿宋"/>
                <w:bCs/>
                <w:kern w:val="0"/>
                <w:sz w:val="24"/>
                <w:szCs w:val="24"/>
              </w:rPr>
              <w:t>，</w:t>
            </w:r>
            <w:r>
              <w:rPr>
                <w:rFonts w:eastAsia="仿宋"/>
                <w:bCs/>
                <w:i/>
                <w:iCs/>
                <w:kern w:val="0"/>
                <w:sz w:val="24"/>
                <w:szCs w:val="24"/>
              </w:rPr>
              <w:t>Cell</w:t>
            </w:r>
          </w:p>
          <w:bookmarkEnd w:id="2"/>
          <w:p w14:paraId="3E0EE3BF">
            <w:pPr>
              <w:widowControl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5C43F505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2021. </w:t>
            </w:r>
            <w:r>
              <w:rPr>
                <w:sz w:val="24"/>
                <w:szCs w:val="24"/>
              </w:rPr>
              <w:t>184 (3), pp.845-846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361BAA77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2021.2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5E67756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30</w:t>
            </w:r>
          </w:p>
        </w:tc>
      </w:tr>
      <w:tr w14:paraId="70DE2F6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05E89BA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黄曼/陈静瑜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47A8ACB6">
            <w:pPr>
              <w:spacing w:line="240" w:lineRule="auto"/>
              <w:jc w:val="both"/>
              <w:rPr>
                <w:rFonts w:eastAsia="仿宋"/>
                <w:sz w:val="24"/>
                <w:szCs w:val="24"/>
              </w:rPr>
            </w:pPr>
            <w:bookmarkStart w:id="3" w:name="OLE_LINK6"/>
            <w:r>
              <w:rPr>
                <w:rFonts w:eastAsia="仿宋"/>
                <w:bCs/>
                <w:kern w:val="0"/>
                <w:sz w:val="24"/>
                <w:szCs w:val="24"/>
              </w:rPr>
              <w:t>Bilateral lobar lung transplantation and a single lung transplantation using lungs from a single organ donor during coronavirus disease 2019 pandemic</w:t>
            </w:r>
            <w:r>
              <w:rPr>
                <w:rFonts w:hint="eastAsia" w:eastAsia="仿宋"/>
                <w:bCs/>
                <w:kern w:val="0"/>
                <w:sz w:val="24"/>
                <w:szCs w:val="24"/>
              </w:rPr>
              <w:t>，</w:t>
            </w:r>
            <w:r>
              <w:rPr>
                <w:rFonts w:eastAsia="仿宋"/>
                <w:bCs/>
                <w:i/>
                <w:iCs/>
                <w:kern w:val="0"/>
                <w:sz w:val="24"/>
                <w:szCs w:val="24"/>
              </w:rPr>
              <w:t>Chinese Medical Journal</w:t>
            </w:r>
            <w:bookmarkEnd w:id="3"/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2CF6A7CC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2021</w:t>
            </w:r>
            <w:r>
              <w:rPr>
                <w:sz w:val="24"/>
                <w:szCs w:val="24"/>
              </w:rPr>
              <w:t>, 134(17):2122-2124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0D90033F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2021.8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8D93BF6">
            <w:pPr>
              <w:spacing w:line="240" w:lineRule="auto"/>
              <w:jc w:val="both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/</w:t>
            </w:r>
          </w:p>
        </w:tc>
      </w:tr>
      <w:tr w14:paraId="6FB1FD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16CE2106">
            <w:pPr>
              <w:spacing w:line="240" w:lineRule="auto"/>
              <w:jc w:val="left"/>
              <w:rPr>
                <w:sz w:val="24"/>
                <w:szCs w:val="24"/>
              </w:rPr>
            </w:pPr>
            <w:bookmarkStart w:id="4" w:name="_Hlk208416199"/>
            <w:r>
              <w:rPr>
                <w:sz w:val="24"/>
                <w:szCs w:val="24"/>
              </w:rPr>
              <w:t>陈静瑜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7CD58E1C">
            <w:pPr>
              <w:widowControl/>
              <w:spacing w:line="240" w:lineRule="auto"/>
              <w:jc w:val="both"/>
              <w:rPr>
                <w:rFonts w:eastAsia="仿宋"/>
                <w:sz w:val="24"/>
                <w:szCs w:val="24"/>
              </w:rPr>
            </w:pPr>
            <w:bookmarkStart w:id="5" w:name="OLE_LINK9"/>
            <w:r>
              <w:rPr>
                <w:rFonts w:eastAsia="仿宋"/>
                <w:bCs/>
                <w:kern w:val="0"/>
                <w:sz w:val="24"/>
                <w:szCs w:val="24"/>
              </w:rPr>
              <w:t>Use of veno-arterial extracorporeal membrane oxygenation in the fi rst successful combined lung-liver transplantation patient in China</w:t>
            </w:r>
            <w:r>
              <w:rPr>
                <w:rFonts w:hint="eastAsia" w:eastAsia="仿宋"/>
                <w:bCs/>
                <w:kern w:val="0"/>
                <w:sz w:val="24"/>
                <w:szCs w:val="24"/>
              </w:rPr>
              <w:t>，</w:t>
            </w:r>
            <w:r>
              <w:rPr>
                <w:rFonts w:eastAsia="仿宋"/>
                <w:bCs/>
                <w:i/>
                <w:iCs/>
                <w:kern w:val="0"/>
                <w:sz w:val="24"/>
                <w:szCs w:val="24"/>
              </w:rPr>
              <w:t>World Journal of Emergency Medicine</w:t>
            </w:r>
            <w:bookmarkEnd w:id="5"/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27B9CB73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sz w:val="24"/>
                <w:szCs w:val="24"/>
              </w:rPr>
              <w:t>, 13(</w:t>
            </w: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):</w:t>
            </w:r>
            <w:r>
              <w:rPr>
                <w:rFonts w:hint="eastAsia"/>
                <w:sz w:val="24"/>
                <w:szCs w:val="24"/>
              </w:rPr>
              <w:t>412</w:t>
            </w:r>
            <w:r>
              <w:rPr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14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1DBEB73F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2022.9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3888B5C4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</w:p>
        </w:tc>
      </w:tr>
      <w:bookmarkEnd w:id="4"/>
      <w:tr w14:paraId="6521EB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1A620334">
            <w:pPr>
              <w:spacing w:line="240" w:lineRule="auto"/>
              <w:jc w:val="left"/>
              <w:rPr>
                <w:sz w:val="24"/>
                <w:szCs w:val="24"/>
              </w:rPr>
            </w:pPr>
            <w:bookmarkStart w:id="6" w:name="_Hlk208416312"/>
            <w:r>
              <w:rPr>
                <w:rFonts w:hint="eastAsia"/>
                <w:sz w:val="24"/>
                <w:szCs w:val="24"/>
              </w:rPr>
              <w:t>冯友军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3D21AD0B">
            <w:pPr>
              <w:spacing w:line="240" w:lineRule="auto"/>
              <w:jc w:val="both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kern w:val="0"/>
                <w:sz w:val="24"/>
                <w:szCs w:val="24"/>
              </w:rPr>
              <w:t>The opportunistic pathogen Pseudomonas aeruginosa exploits bacterial biotin synthesis pathway to benefit its infectivity</w:t>
            </w:r>
            <w:r>
              <w:rPr>
                <w:rFonts w:hint="eastAsia" w:eastAsia="仿宋"/>
                <w:bCs/>
                <w:kern w:val="0"/>
                <w:sz w:val="24"/>
                <w:szCs w:val="24"/>
              </w:rPr>
              <w:t>，</w:t>
            </w:r>
            <w:r>
              <w:rPr>
                <w:rFonts w:eastAsia="仿宋"/>
                <w:bCs/>
                <w:i/>
                <w:iCs/>
                <w:kern w:val="0"/>
                <w:sz w:val="24"/>
                <w:szCs w:val="24"/>
              </w:rPr>
              <w:t>PLoS Pathogen</w:t>
            </w: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4FF85FF4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2023, 19(1):e1011110.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0685EF22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2023.1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5B339682">
            <w:pPr>
              <w:spacing w:line="240" w:lineRule="auto"/>
              <w:jc w:val="both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/</w:t>
            </w:r>
          </w:p>
        </w:tc>
      </w:tr>
      <w:bookmarkEnd w:id="6"/>
      <w:tr w14:paraId="1563A6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142DB76">
            <w:pPr>
              <w:spacing w:line="240" w:lineRule="auto"/>
              <w:jc w:val="left"/>
              <w:rPr>
                <w:sz w:val="24"/>
                <w:szCs w:val="24"/>
              </w:rPr>
            </w:pPr>
            <w:bookmarkStart w:id="7" w:name="_Hlk208416393"/>
            <w:r>
              <w:rPr>
                <w:rFonts w:hint="eastAsia"/>
                <w:sz w:val="24"/>
                <w:szCs w:val="24"/>
              </w:rPr>
              <w:t>冯友军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5CEA2F3B">
            <w:pPr>
              <w:spacing w:line="240" w:lineRule="auto"/>
              <w:jc w:val="both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kern w:val="0"/>
                <w:sz w:val="24"/>
                <w:szCs w:val="24"/>
              </w:rPr>
              <w:t>Chasing the landscape for intrahospital transmission and evolution of hypervirulent carbapenem-resistant Klebsiella pneumoniae</w:t>
            </w:r>
            <w:r>
              <w:rPr>
                <w:rFonts w:hint="eastAsia" w:eastAsia="仿宋"/>
                <w:bCs/>
                <w:kern w:val="0"/>
                <w:sz w:val="24"/>
                <w:szCs w:val="24"/>
              </w:rPr>
              <w:t>，</w:t>
            </w:r>
            <w:r>
              <w:rPr>
                <w:rFonts w:eastAsia="仿宋"/>
                <w:bCs/>
                <w:i/>
                <w:iCs/>
                <w:kern w:val="0"/>
                <w:sz w:val="24"/>
                <w:szCs w:val="24"/>
              </w:rPr>
              <w:t>Science Bulletin</w:t>
            </w: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1F22E3D2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2023, 68(23):3027-3047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188AACA8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2023.12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1B0E79CE">
            <w:pPr>
              <w:spacing w:line="240" w:lineRule="auto"/>
              <w:jc w:val="both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/</w:t>
            </w:r>
          </w:p>
        </w:tc>
      </w:tr>
      <w:bookmarkEnd w:id="7"/>
      <w:tr w14:paraId="389AFF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2AF0E43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黄曼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766F196B">
            <w:pPr>
              <w:spacing w:line="240" w:lineRule="auto"/>
              <w:jc w:val="both"/>
              <w:rPr>
                <w:rFonts w:eastAsia="仿宋"/>
                <w:bCs/>
                <w:kern w:val="0"/>
                <w:sz w:val="24"/>
                <w:szCs w:val="24"/>
              </w:rPr>
            </w:pPr>
            <w:r>
              <w:rPr>
                <w:rFonts w:eastAsia="仿宋"/>
                <w:bCs/>
                <w:kern w:val="0"/>
                <w:sz w:val="24"/>
                <w:szCs w:val="24"/>
              </w:rPr>
              <w:t>CELLULAR SENESCENCE IMPLICATED IN SEPSIS-INDUCED MUSCLE WEAKNESS AND AMELIORATED WITH METFORMIN,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kern w:val="0"/>
                <w:sz w:val="24"/>
                <w:szCs w:val="24"/>
              </w:rPr>
              <w:t>Shock</w:t>
            </w: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1F2F141C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2023</w:t>
            </w:r>
            <w:r>
              <w:rPr>
                <w:sz w:val="24"/>
                <w:szCs w:val="24"/>
              </w:rPr>
              <w:t>, 59 (4), pp.646-656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C2341C6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2023.4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1F9F2D56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14:paraId="54DB10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2D359D2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黄曼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7CD9FE09">
            <w:pPr>
              <w:spacing w:line="240" w:lineRule="auto"/>
              <w:jc w:val="both"/>
              <w:rPr>
                <w:rFonts w:eastAsia="仿宋"/>
                <w:bCs/>
                <w:kern w:val="0"/>
                <w:sz w:val="24"/>
                <w:szCs w:val="24"/>
              </w:rPr>
            </w:pPr>
            <w:r>
              <w:rPr>
                <w:rFonts w:eastAsia="仿宋"/>
                <w:bCs/>
                <w:kern w:val="0"/>
                <w:sz w:val="24"/>
                <w:szCs w:val="24"/>
              </w:rPr>
              <w:t>Intensive care unit-acquired weakness: Recent insights,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i/>
                <w:iCs/>
                <w:kern w:val="0"/>
                <w:sz w:val="24"/>
                <w:szCs w:val="24"/>
              </w:rPr>
              <w:t>Journal of Intensive Medicine</w:t>
            </w: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51F3938F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2024</w:t>
            </w:r>
            <w:r>
              <w:rPr>
                <w:sz w:val="24"/>
                <w:szCs w:val="24"/>
              </w:rPr>
              <w:t>, 4 (1), pp.73-80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0870AB32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2024.1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5645343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14:paraId="16841D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731D6BC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陈静瑜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4ABDE5E6">
            <w:pPr>
              <w:spacing w:line="240" w:lineRule="auto"/>
              <w:jc w:val="both"/>
              <w:rPr>
                <w:rFonts w:eastAsia="仿宋"/>
                <w:bCs/>
                <w:kern w:val="0"/>
                <w:sz w:val="24"/>
                <w:szCs w:val="24"/>
              </w:rPr>
            </w:pPr>
            <w:r>
              <w:rPr>
                <w:rFonts w:eastAsia="仿宋"/>
                <w:bCs/>
                <w:kern w:val="0"/>
                <w:sz w:val="24"/>
                <w:szCs w:val="24"/>
              </w:rPr>
              <w:t>Machine Learning-Based Prognostic Model for Patients After Lung Transplantation,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i/>
                <w:iCs/>
                <w:kern w:val="0"/>
                <w:sz w:val="24"/>
                <w:szCs w:val="24"/>
              </w:rPr>
              <w:t>JAMA Network Open</w:t>
            </w:r>
          </w:p>
          <w:p w14:paraId="72299293">
            <w:pPr>
              <w:spacing w:line="240" w:lineRule="auto"/>
              <w:jc w:val="both"/>
              <w:rPr>
                <w:rFonts w:eastAsia="仿宋"/>
                <w:bCs/>
                <w:kern w:val="0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3FE9126E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2023, 6 (5)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B74D78E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2023.5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7C7E5B5E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14:paraId="1121018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57A4C5F">
            <w:pPr>
              <w:spacing w:line="240" w:lineRule="auto"/>
              <w:jc w:val="left"/>
              <w:rPr>
                <w:sz w:val="24"/>
                <w:szCs w:val="24"/>
              </w:rPr>
            </w:pPr>
            <w:bookmarkStart w:id="8" w:name="_Hlk208429852"/>
            <w:r>
              <w:rPr>
                <w:rFonts w:hint="eastAsia"/>
                <w:sz w:val="24"/>
                <w:szCs w:val="24"/>
              </w:rPr>
              <w:t>冯友军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1FD0D558">
            <w:pPr>
              <w:spacing w:line="240" w:lineRule="auto"/>
              <w:jc w:val="both"/>
              <w:rPr>
                <w:rFonts w:eastAsia="仿宋"/>
                <w:bCs/>
                <w:kern w:val="0"/>
                <w:sz w:val="24"/>
                <w:szCs w:val="24"/>
              </w:rPr>
            </w:pPr>
            <w:r>
              <w:rPr>
                <w:rFonts w:eastAsia="仿宋"/>
                <w:bCs/>
                <w:kern w:val="0"/>
                <w:sz w:val="24"/>
                <w:szCs w:val="24"/>
              </w:rPr>
              <w:t>A bacterial methyltransferase that initiates biotin synthesis, an attractive anti-ESKAPE druggable pathway,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i/>
                <w:iCs/>
                <w:kern w:val="0"/>
                <w:sz w:val="24"/>
                <w:szCs w:val="24"/>
              </w:rPr>
              <w:t>Science Advance</w:t>
            </w: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29955BF9">
            <w:pPr>
              <w:spacing w:line="240" w:lineRule="auto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2024, 10 (51)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1F6327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2024.12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3CFB560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bookmarkEnd w:id="8"/>
      <w:tr w14:paraId="40A33D9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3A4337A2">
            <w:pPr>
              <w:spacing w:line="240" w:lineRule="auto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黄曼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3FBA1B2B">
            <w:pPr>
              <w:spacing w:line="240" w:lineRule="auto"/>
              <w:jc w:val="both"/>
              <w:rPr>
                <w:rFonts w:eastAsia="仿宋"/>
                <w:bCs/>
                <w:kern w:val="0"/>
                <w:sz w:val="24"/>
                <w:szCs w:val="24"/>
              </w:rPr>
            </w:pPr>
            <w:r>
              <w:rPr>
                <w:rFonts w:eastAsia="仿宋"/>
                <w:bCs/>
                <w:kern w:val="0"/>
                <w:sz w:val="24"/>
                <w:szCs w:val="24"/>
              </w:rPr>
              <w:t xml:space="preserve">Adaptive attenuation of virulence in hypervirulent carbapenem-resistant Klebsiella pneumoniae, </w:t>
            </w:r>
            <w:r>
              <w:rPr>
                <w:rFonts w:eastAsia="仿宋"/>
                <w:bCs/>
                <w:i/>
                <w:iCs/>
                <w:kern w:val="0"/>
                <w:sz w:val="24"/>
                <w:szCs w:val="24"/>
              </w:rPr>
              <w:t>msystems</w:t>
            </w: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1B107E0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2024, 9 (6)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5F88129C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2024.6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023EDCA4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14:paraId="00D480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517FBF86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黄曼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2CE36274">
            <w:pPr>
              <w:spacing w:line="240" w:lineRule="auto"/>
              <w:jc w:val="both"/>
              <w:rPr>
                <w:rFonts w:eastAsia="仿宋"/>
                <w:bCs/>
                <w:kern w:val="0"/>
                <w:sz w:val="24"/>
                <w:szCs w:val="24"/>
              </w:rPr>
            </w:pPr>
            <w:r>
              <w:rPr>
                <w:rFonts w:eastAsia="仿宋"/>
                <w:bCs/>
                <w:kern w:val="0"/>
                <w:sz w:val="24"/>
                <w:szCs w:val="24"/>
              </w:rPr>
              <w:t>A novel real-time model for predicting acute kidney injury in critically ill patients within 12 hours,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i/>
                <w:iCs/>
                <w:kern w:val="0"/>
                <w:sz w:val="24"/>
                <w:szCs w:val="24"/>
              </w:rPr>
              <w:t>Nephrol Dial Transplant</w:t>
            </w: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2A44CFC3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2024</w:t>
            </w:r>
            <w:r>
              <w:rPr>
                <w:sz w:val="24"/>
                <w:szCs w:val="24"/>
              </w:rPr>
              <w:t>, 40 (3) , pp.524-536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2CE33A97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2024,9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244B8906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14:paraId="1A2992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735929FD">
            <w:pPr>
              <w:spacing w:line="240" w:lineRule="auto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冯友军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3EACB125">
            <w:pPr>
              <w:spacing w:line="240" w:lineRule="auto"/>
              <w:jc w:val="both"/>
              <w:rPr>
                <w:rFonts w:eastAsia="仿宋"/>
                <w:bCs/>
                <w:kern w:val="0"/>
                <w:sz w:val="24"/>
                <w:szCs w:val="24"/>
              </w:rPr>
            </w:pPr>
            <w:r>
              <w:rPr>
                <w:rFonts w:eastAsia="仿宋"/>
                <w:bCs/>
                <w:kern w:val="0"/>
                <w:sz w:val="24"/>
                <w:szCs w:val="24"/>
              </w:rPr>
              <w:t>Structure and catalytic mechanism of exogenous fatty acid recycling by AasS, a versatile acyl-ACP synthetase.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i/>
                <w:iCs/>
                <w:kern w:val="0"/>
                <w:sz w:val="24"/>
                <w:szCs w:val="24"/>
              </w:rPr>
              <w:t>Nature Structural &amp; Molecular Biology</w:t>
            </w: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02149C68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2025, 32 (5)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BC0EB97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2025,5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31AE755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14:paraId="1659566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exact"/>
        </w:trPr>
        <w:tc>
          <w:tcPr>
            <w:tcW w:w="80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 w14:paraId="47F1A40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黄曼</w:t>
            </w:r>
          </w:p>
        </w:tc>
        <w:tc>
          <w:tcPr>
            <w:tcW w:w="52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57230C2E">
            <w:pPr>
              <w:spacing w:line="240" w:lineRule="auto"/>
              <w:jc w:val="both"/>
              <w:rPr>
                <w:rFonts w:eastAsia="仿宋"/>
                <w:bCs/>
                <w:kern w:val="0"/>
                <w:sz w:val="24"/>
                <w:szCs w:val="24"/>
              </w:rPr>
            </w:pPr>
            <w:r>
              <w:rPr>
                <w:rFonts w:eastAsia="仿宋"/>
                <w:bCs/>
                <w:kern w:val="0"/>
                <w:sz w:val="24"/>
                <w:szCs w:val="24"/>
              </w:rPr>
              <w:t>Application of a novel extracorporeal membrane oxygenation system in awake Hu sheep under various durations,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i/>
                <w:iCs/>
                <w:kern w:val="0"/>
                <w:sz w:val="24"/>
                <w:szCs w:val="24"/>
              </w:rPr>
              <w:t>BMC Anesthesiol</w:t>
            </w:r>
          </w:p>
          <w:p w14:paraId="616579C8">
            <w:pPr>
              <w:widowControl/>
              <w:spacing w:after="0" w:line="240" w:lineRule="auto"/>
              <w:jc w:val="both"/>
              <w:rPr>
                <w:rFonts w:eastAsia="等线"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等线"/>
                <w:i/>
                <w:iCs/>
                <w:color w:val="000000"/>
                <w:sz w:val="24"/>
                <w:szCs w:val="24"/>
              </w:rPr>
              <w:t>BMC Anesthesiol</w:t>
            </w:r>
          </w:p>
          <w:p w14:paraId="53368CBC">
            <w:pPr>
              <w:spacing w:line="240" w:lineRule="auto"/>
              <w:jc w:val="both"/>
              <w:rPr>
                <w:rFonts w:eastAsia="仿宋"/>
                <w:bCs/>
                <w:kern w:val="0"/>
                <w:sz w:val="24"/>
                <w:szCs w:val="24"/>
              </w:rPr>
            </w:pPr>
          </w:p>
          <w:p w14:paraId="4EA2F207">
            <w:pPr>
              <w:widowControl/>
              <w:spacing w:after="0" w:line="240" w:lineRule="auto"/>
              <w:jc w:val="both"/>
              <w:rPr>
                <w:rFonts w:eastAsia="等线"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等线"/>
                <w:i/>
                <w:iCs/>
                <w:color w:val="000000"/>
                <w:sz w:val="24"/>
                <w:szCs w:val="24"/>
              </w:rPr>
              <w:t>BMC Anesthesiol</w:t>
            </w:r>
          </w:p>
          <w:p w14:paraId="1C2E8D6B">
            <w:pPr>
              <w:spacing w:line="240" w:lineRule="auto"/>
              <w:jc w:val="both"/>
              <w:rPr>
                <w:rFonts w:eastAsia="仿宋"/>
                <w:bCs/>
                <w:kern w:val="0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40F3F26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2025, 25(1):59</w:t>
            </w:r>
          </w:p>
        </w:tc>
        <w:tc>
          <w:tcPr>
            <w:tcW w:w="10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9A80E0C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2025</w:t>
            </w:r>
            <w:r>
              <w:rPr>
                <w:sz w:val="24"/>
                <w:szCs w:val="24"/>
              </w:rPr>
              <w:t>.2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 w14:paraId="6F2FC304">
            <w:pPr>
              <w:spacing w:line="240" w:lineRule="auto"/>
              <w:jc w:val="both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/</w:t>
            </w:r>
          </w:p>
        </w:tc>
      </w:tr>
      <w:tr w14:paraId="1ED51EB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exact"/>
        </w:trPr>
        <w:tc>
          <w:tcPr>
            <w:tcW w:w="8277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top"/>
          </w:tcPr>
          <w:p w14:paraId="043A476F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合  计:</w:t>
            </w:r>
          </w:p>
        </w:tc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top"/>
          </w:tcPr>
          <w:p w14:paraId="4AD314E3">
            <w:pPr>
              <w:spacing w:line="240" w:lineRule="auto"/>
              <w:jc w:val="both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265</w:t>
            </w:r>
          </w:p>
        </w:tc>
      </w:tr>
    </w:tbl>
    <w:p w14:paraId="06938CAE">
      <w:pPr>
        <w:adjustRightInd w:val="0"/>
        <w:snapToGrid w:val="0"/>
        <w:spacing w:line="560" w:lineRule="exact"/>
        <w:rPr>
          <w:rFonts w:hint="default" w:eastAsia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7A42A94-96F1-4EB1-AD85-7D0F0B93217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6FAC13D-F098-453C-BF10-3A45C3B8663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4B0E5B6-4346-4851-B745-A6B034E0D3E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4F38037-4F5B-459B-B4E7-9C4C452F425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361FB1B-FDCA-4077-8255-75A74438548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1638D3B-E34C-4EED-A271-DDE815F441E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15ABA69D-CD03-487C-B5BC-07D61CF7AAA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CAB3C287-15DB-40D6-88C1-5D1C5FDFEB93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9" w:fontKey="{617EB28E-45A6-4B49-BFF8-F4A589925791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F17C4546-8CF5-4B2B-866F-C1C96036711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34721E10-C34D-4672-8C09-055037D8D9CF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2" w:fontKey="{B5EB9B2F-5DAD-4F9B-848A-082B66CD02D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3" w:fontKey="{07FBABD3-706B-45A1-8AF2-9EFDA31115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5B22BDE4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CEF13"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75AFD8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7A2905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50F4DE">
    <w:pPr>
      <w:pStyle w:val="10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168D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9269B"/>
    <w:rsid w:val="00595A3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546AC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05021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11330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6C9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A21F2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5C53B4B"/>
    <w:rsid w:val="06011767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AF12517"/>
    <w:rsid w:val="0B5E36D3"/>
    <w:rsid w:val="0BB30987"/>
    <w:rsid w:val="0C76193E"/>
    <w:rsid w:val="0DCA1AB9"/>
    <w:rsid w:val="0DF07EE3"/>
    <w:rsid w:val="0E643518"/>
    <w:rsid w:val="0F102792"/>
    <w:rsid w:val="0F8B118C"/>
    <w:rsid w:val="0FAE6C29"/>
    <w:rsid w:val="10344DD0"/>
    <w:rsid w:val="10633DCE"/>
    <w:rsid w:val="107B4D5D"/>
    <w:rsid w:val="10A6675D"/>
    <w:rsid w:val="10DD4EBB"/>
    <w:rsid w:val="12AE0195"/>
    <w:rsid w:val="130A103D"/>
    <w:rsid w:val="13985B17"/>
    <w:rsid w:val="140B59D6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61C24"/>
    <w:rsid w:val="22B90D41"/>
    <w:rsid w:val="230236C8"/>
    <w:rsid w:val="23737E65"/>
    <w:rsid w:val="23DA218B"/>
    <w:rsid w:val="252F365E"/>
    <w:rsid w:val="25FE291E"/>
    <w:rsid w:val="263611B5"/>
    <w:rsid w:val="27143262"/>
    <w:rsid w:val="288F7729"/>
    <w:rsid w:val="29F90ABD"/>
    <w:rsid w:val="29FC1D70"/>
    <w:rsid w:val="2A0D1A99"/>
    <w:rsid w:val="2A213392"/>
    <w:rsid w:val="2A5700B2"/>
    <w:rsid w:val="2AC96FF6"/>
    <w:rsid w:val="2ACA4E23"/>
    <w:rsid w:val="2B002F9A"/>
    <w:rsid w:val="2B5E7BEB"/>
    <w:rsid w:val="2C7E32BC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162952"/>
    <w:rsid w:val="2F276578"/>
    <w:rsid w:val="2FF62EC1"/>
    <w:rsid w:val="2FFC7DCE"/>
    <w:rsid w:val="32C1444F"/>
    <w:rsid w:val="32D0288E"/>
    <w:rsid w:val="33072028"/>
    <w:rsid w:val="34671B17"/>
    <w:rsid w:val="366259E5"/>
    <w:rsid w:val="368F078E"/>
    <w:rsid w:val="374F01EB"/>
    <w:rsid w:val="376213FE"/>
    <w:rsid w:val="376D011C"/>
    <w:rsid w:val="376F7781"/>
    <w:rsid w:val="37C55794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66C06C8"/>
    <w:rsid w:val="472E36B4"/>
    <w:rsid w:val="47F15329"/>
    <w:rsid w:val="48B76D8F"/>
    <w:rsid w:val="49706721"/>
    <w:rsid w:val="49DD2383"/>
    <w:rsid w:val="4C1F3EFD"/>
    <w:rsid w:val="4CA639F1"/>
    <w:rsid w:val="4CE34B9C"/>
    <w:rsid w:val="4D38031C"/>
    <w:rsid w:val="4E962110"/>
    <w:rsid w:val="4EAD471B"/>
    <w:rsid w:val="4FF457BF"/>
    <w:rsid w:val="50EF43CF"/>
    <w:rsid w:val="535E0F14"/>
    <w:rsid w:val="53D31D87"/>
    <w:rsid w:val="548C3B38"/>
    <w:rsid w:val="557E53F1"/>
    <w:rsid w:val="56226E9B"/>
    <w:rsid w:val="56607C45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BD44496"/>
    <w:rsid w:val="6D103417"/>
    <w:rsid w:val="6D342528"/>
    <w:rsid w:val="6D73A7A8"/>
    <w:rsid w:val="6DED540B"/>
    <w:rsid w:val="6E0F6A32"/>
    <w:rsid w:val="6EC205F2"/>
    <w:rsid w:val="6F5109C8"/>
    <w:rsid w:val="6F6C1313"/>
    <w:rsid w:val="717383BB"/>
    <w:rsid w:val="71EA46D2"/>
    <w:rsid w:val="72556080"/>
    <w:rsid w:val="72FB5971"/>
    <w:rsid w:val="731F3CDF"/>
    <w:rsid w:val="73257E81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字符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字符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8">
    <w:name w:val="Revision"/>
    <w:hidden/>
    <w:unhideWhenUsed/>
    <w:qFormat/>
    <w:uiPriority w:val="99"/>
    <w:pPr>
      <w:spacing w:after="0" w:line="240" w:lineRule="auto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1399</Words>
  <Characters>3468</Characters>
  <Lines>4</Lines>
  <Paragraphs>1</Paragraphs>
  <TotalTime>5</TotalTime>
  <ScaleCrop>false</ScaleCrop>
  <LinksUpToDate>false</LinksUpToDate>
  <CharactersWithSpaces>3760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2025-09-10T01:09:00Z</dcterms:created>
  <dc:creator>胡胜链</dc:creator>
  <cp:lastModifiedBy>葛格</cp:lastModifiedBy>
  <cp:lastPrinted>2022-01-28T09:53:00Z</cp:lastPrinted>
  <dcterms:modified xsi:type="dcterms:W3CDTF">2025-09-11T03:18:08Z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9982383801374D74AF306D9260800373_13</vt:lpwstr>
  </property>
  <property fmtid="{D5CDD505-2E9C-101B-9397-08002B2CF9AE}" pid="4" name="KSOTemplateDocerSaveRecord">
    <vt:lpwstr>eyJoZGlkIjoiMzA1N2FkYjAwMjEzMzYyZGM5Mjc5MzliZjJiMGU4N2QiLCJ1c2VySWQiOiIxNjUxNjc4MTQzIn0=</vt:lpwstr>
  </property>
</Properties>
</file>