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5E523">
      <w:pPr>
        <w:jc w:val="center"/>
        <w:rPr>
          <w:rStyle w:val="33"/>
          <w:rFonts w:eastAsia="方正小标宋简体"/>
          <w:bCs w:val="0"/>
          <w:sz w:val="36"/>
          <w:szCs w:val="36"/>
        </w:rPr>
      </w:pPr>
      <w:r>
        <w:rPr>
          <w:rStyle w:val="33"/>
          <w:rFonts w:eastAsia="方正小标宋简体"/>
          <w:color w:val="auto"/>
          <w:sz w:val="36"/>
          <w:szCs w:val="36"/>
        </w:rPr>
        <w:t>浙</w:t>
      </w:r>
      <w:bookmarkStart w:id="1" w:name="_GoBack"/>
      <w:bookmarkEnd w:id="1"/>
      <w:r>
        <w:rPr>
          <w:rStyle w:val="33"/>
          <w:rFonts w:eastAsia="方正小标宋简体"/>
          <w:color w:val="auto"/>
          <w:sz w:val="36"/>
          <w:szCs w:val="36"/>
        </w:rPr>
        <w:t>江省科学技术奖公示信息表</w:t>
      </w:r>
      <w:r>
        <w:rPr>
          <w:rStyle w:val="33"/>
          <w:rFonts w:eastAsia="仿宋_GB2312"/>
          <w:color w:val="auto"/>
          <w:sz w:val="32"/>
          <w:szCs w:val="32"/>
        </w:rPr>
        <w:t>（单位提名）</w:t>
      </w:r>
    </w:p>
    <w:p w14:paraId="322448F5">
      <w:pPr>
        <w:spacing w:line="440" w:lineRule="exact"/>
        <w:rPr>
          <w:rFonts w:hint="eastAsia" w:eastAsia="仿宋_GB2312"/>
          <w:sz w:val="28"/>
          <w:szCs w:val="24"/>
        </w:rPr>
      </w:pPr>
      <w:r>
        <w:rPr>
          <w:rFonts w:eastAsia="仿宋_GB2312"/>
          <w:sz w:val="28"/>
          <w:szCs w:val="24"/>
        </w:rPr>
        <w:t>提名奖项：科学技术进步奖</w:t>
      </w:r>
    </w:p>
    <w:tbl>
      <w:tblPr>
        <w:tblStyle w:val="13"/>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58011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350F9F4B">
            <w:pPr>
              <w:spacing w:line="440" w:lineRule="exact"/>
              <w:jc w:val="center"/>
              <w:rPr>
                <w:rFonts w:eastAsia="仿宋_GB2312"/>
                <w:bCs/>
                <w:sz w:val="28"/>
                <w:szCs w:val="24"/>
              </w:rPr>
            </w:pPr>
            <w:r>
              <w:rPr>
                <w:rFonts w:eastAsia="仿宋_GB2312"/>
                <w:bCs/>
                <w:sz w:val="28"/>
                <w:szCs w:val="24"/>
              </w:rPr>
              <w:t>成果名称</w:t>
            </w:r>
          </w:p>
        </w:tc>
        <w:tc>
          <w:tcPr>
            <w:tcW w:w="6237" w:type="dxa"/>
            <w:vAlign w:val="center"/>
          </w:tcPr>
          <w:p w14:paraId="335ED43E">
            <w:pPr>
              <w:spacing w:line="440" w:lineRule="exact"/>
              <w:jc w:val="center"/>
              <w:rPr>
                <w:rFonts w:eastAsia="仿宋_GB2312"/>
                <w:bCs/>
                <w:sz w:val="24"/>
                <w:szCs w:val="24"/>
              </w:rPr>
            </w:pPr>
            <w:r>
              <w:rPr>
                <w:rFonts w:eastAsia="仿宋_GB2312"/>
                <w:bCs/>
                <w:sz w:val="24"/>
                <w:szCs w:val="24"/>
              </w:rPr>
              <w:t>面向复杂苛刻体系的宽适应性搅拌</w:t>
            </w:r>
            <w:r>
              <w:rPr>
                <w:rFonts w:hint="eastAsia" w:eastAsia="仿宋_GB2312"/>
                <w:bCs/>
                <w:sz w:val="24"/>
                <w:szCs w:val="24"/>
              </w:rPr>
              <w:t>关键技术及应用</w:t>
            </w:r>
          </w:p>
        </w:tc>
      </w:tr>
      <w:tr w14:paraId="13419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3D45C2AD">
            <w:pPr>
              <w:spacing w:line="440" w:lineRule="exact"/>
              <w:jc w:val="center"/>
              <w:rPr>
                <w:rFonts w:eastAsia="仿宋_GB2312"/>
                <w:bCs/>
                <w:sz w:val="28"/>
                <w:szCs w:val="24"/>
              </w:rPr>
            </w:pPr>
            <w:r>
              <w:rPr>
                <w:rFonts w:eastAsia="仿宋_GB2312"/>
                <w:bCs/>
                <w:sz w:val="28"/>
                <w:szCs w:val="24"/>
              </w:rPr>
              <w:t>提名等级</w:t>
            </w:r>
          </w:p>
        </w:tc>
        <w:tc>
          <w:tcPr>
            <w:tcW w:w="6237" w:type="dxa"/>
            <w:vAlign w:val="center"/>
          </w:tcPr>
          <w:p w14:paraId="384A3E37">
            <w:pPr>
              <w:spacing w:line="440" w:lineRule="exact"/>
              <w:jc w:val="center"/>
              <w:rPr>
                <w:rFonts w:eastAsia="仿宋_GB2312"/>
                <w:bCs/>
                <w:sz w:val="24"/>
                <w:szCs w:val="24"/>
              </w:rPr>
            </w:pPr>
            <w:r>
              <w:rPr>
                <w:rFonts w:eastAsia="仿宋_GB2312"/>
                <w:bCs/>
                <w:sz w:val="24"/>
                <w:szCs w:val="24"/>
              </w:rPr>
              <w:t>一等奖</w:t>
            </w:r>
          </w:p>
        </w:tc>
      </w:tr>
      <w:tr w14:paraId="3CF88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561FA0AB">
            <w:pPr>
              <w:spacing w:line="440" w:lineRule="exact"/>
              <w:jc w:val="center"/>
              <w:rPr>
                <w:rFonts w:eastAsia="仿宋_GB2312"/>
                <w:bCs/>
                <w:sz w:val="28"/>
                <w:szCs w:val="24"/>
              </w:rPr>
            </w:pPr>
            <w:r>
              <w:rPr>
                <w:rFonts w:eastAsia="仿宋_GB2312"/>
                <w:bCs/>
                <w:sz w:val="28"/>
                <w:szCs w:val="24"/>
              </w:rPr>
              <w:t>提名书</w:t>
            </w:r>
          </w:p>
          <w:p w14:paraId="1663A859">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233613F2">
            <w:pPr>
              <w:rPr>
                <w:rFonts w:eastAsia="仿宋"/>
                <w:b/>
                <w:bCs/>
                <w:sz w:val="24"/>
                <w:szCs w:val="24"/>
              </w:rPr>
            </w:pPr>
            <w:r>
              <w:rPr>
                <w:rFonts w:hint="eastAsia" w:eastAsia="仿宋"/>
                <w:b/>
                <w:bCs/>
                <w:sz w:val="24"/>
                <w:szCs w:val="24"/>
              </w:rPr>
              <w:t>1、主要知识产权目录</w:t>
            </w:r>
          </w:p>
          <w:p w14:paraId="6CA7DFBC">
            <w:pPr>
              <w:pStyle w:val="28"/>
              <w:snapToGrid w:val="0"/>
              <w:ind w:left="0"/>
              <w:contextualSpacing w:val="0"/>
              <w:jc w:val="both"/>
              <w:rPr>
                <w:rFonts w:ascii="Times New Roman" w:hAnsi="Times New Roman" w:eastAsia="仿宋" w:cs="Times New Roman"/>
                <w:sz w:val="24"/>
              </w:rPr>
            </w:pPr>
            <w:r>
              <w:rPr>
                <w:rFonts w:hint="eastAsia" w:ascii="Times New Roman" w:hAnsi="Times New Roman" w:eastAsia="仿宋" w:cs="仿宋"/>
                <w:sz w:val="24"/>
              </w:rPr>
              <w:t>[1]刘宝庆, 范芳怡, 徐子龙, 程瑞佳, 黄博林；</w:t>
            </w:r>
            <w:r>
              <w:rPr>
                <w:rFonts w:ascii="Times New Roman" w:hAnsi="Times New Roman" w:eastAsia="仿宋"/>
                <w:sz w:val="24"/>
                <w:szCs w:val="21"/>
              </w:rPr>
              <w:t>基于釜底压力测量的多相搅拌釜搅拌器气泛转速测量方法</w:t>
            </w:r>
            <w:r>
              <w:rPr>
                <w:rFonts w:hint="eastAsia" w:ascii="Times New Roman" w:hAnsi="Times New Roman" w:eastAsia="仿宋" w:cs="Times New Roman"/>
                <w:sz w:val="24"/>
              </w:rPr>
              <w:t>；</w:t>
            </w:r>
            <w:r>
              <w:rPr>
                <w:rFonts w:ascii="Times New Roman" w:hAnsi="Times New Roman" w:eastAsia="仿宋" w:cs="Times New Roman"/>
                <w:sz w:val="24"/>
              </w:rPr>
              <w:t>授权</w:t>
            </w:r>
            <w:r>
              <w:rPr>
                <w:rFonts w:hint="eastAsia" w:ascii="Times New Roman" w:hAnsi="Times New Roman" w:eastAsia="仿宋" w:cs="Times New Roman"/>
                <w:sz w:val="24"/>
              </w:rPr>
              <w:t>日期</w:t>
            </w:r>
            <w:r>
              <w:rPr>
                <w:rFonts w:ascii="Times New Roman" w:hAnsi="Times New Roman" w:eastAsia="仿宋" w:cs="Times New Roman"/>
                <w:sz w:val="24"/>
              </w:rPr>
              <w:t>：2023.</w:t>
            </w:r>
            <w:r>
              <w:rPr>
                <w:rFonts w:hint="eastAsia" w:ascii="Times New Roman" w:hAnsi="Times New Roman" w:eastAsia="仿宋" w:cs="Times New Roman"/>
                <w:sz w:val="24"/>
              </w:rPr>
              <w:t>0</w:t>
            </w:r>
            <w:r>
              <w:rPr>
                <w:rFonts w:ascii="Times New Roman" w:hAnsi="Times New Roman" w:eastAsia="仿宋" w:cs="Times New Roman"/>
                <w:sz w:val="24"/>
              </w:rPr>
              <w:t>4.28，中国发明专利，ZL201611047546.8</w:t>
            </w:r>
          </w:p>
          <w:p w14:paraId="7F3F31AB">
            <w:pPr>
              <w:pStyle w:val="28"/>
              <w:snapToGrid w:val="0"/>
              <w:ind w:left="0"/>
              <w:contextualSpacing w:val="0"/>
              <w:jc w:val="both"/>
              <w:rPr>
                <w:rFonts w:ascii="Times New Roman" w:hAnsi="Times New Roman" w:eastAsia="仿宋" w:cs="Times New Roman"/>
                <w:sz w:val="24"/>
              </w:rPr>
            </w:pPr>
            <w:r>
              <w:rPr>
                <w:rFonts w:hint="eastAsia" w:ascii="Times New Roman" w:hAnsi="Times New Roman" w:eastAsia="仿宋" w:cs="Times New Roman"/>
                <w:sz w:val="24"/>
              </w:rPr>
              <w:t xml:space="preserve">[2] </w:t>
            </w:r>
            <w:r>
              <w:rPr>
                <w:rFonts w:hint="eastAsia" w:ascii="Times New Roman" w:hAnsi="Times New Roman" w:eastAsia="仿宋" w:cs="仿宋"/>
                <w:sz w:val="24"/>
              </w:rPr>
              <w:t>刘宝庆, 徐子龙, 程瑞佳, 肖清, 孙宁, 高鹏飞；</w:t>
            </w:r>
            <w:r>
              <w:rPr>
                <w:rFonts w:ascii="Times New Roman" w:hAnsi="Times New Roman" w:eastAsia="仿宋"/>
                <w:sz w:val="24"/>
                <w:szCs w:val="21"/>
              </w:rPr>
              <w:t>多相透明搅拌釜中固相悬浮高度的测量装置及测量方法</w:t>
            </w:r>
            <w:r>
              <w:rPr>
                <w:rFonts w:hint="eastAsia" w:ascii="Times New Roman" w:hAnsi="Times New Roman" w:eastAsia="仿宋" w:cs="Times New Roman"/>
                <w:sz w:val="24"/>
              </w:rPr>
              <w:t>；</w:t>
            </w:r>
            <w:r>
              <w:rPr>
                <w:rFonts w:ascii="Times New Roman" w:hAnsi="Times New Roman" w:eastAsia="仿宋" w:cs="Times New Roman"/>
                <w:sz w:val="24"/>
              </w:rPr>
              <w:t>授权</w:t>
            </w:r>
            <w:r>
              <w:rPr>
                <w:rFonts w:hint="eastAsia" w:ascii="Times New Roman" w:hAnsi="Times New Roman" w:eastAsia="仿宋" w:cs="Times New Roman"/>
                <w:sz w:val="24"/>
              </w:rPr>
              <w:t>日期</w:t>
            </w:r>
            <w:r>
              <w:rPr>
                <w:rFonts w:ascii="Times New Roman" w:hAnsi="Times New Roman" w:eastAsia="仿宋" w:cs="Times New Roman"/>
                <w:sz w:val="24"/>
              </w:rPr>
              <w:t>：2024.</w:t>
            </w:r>
            <w:r>
              <w:rPr>
                <w:rFonts w:hint="eastAsia" w:ascii="Times New Roman" w:hAnsi="Times New Roman" w:eastAsia="仿宋" w:cs="Times New Roman"/>
                <w:sz w:val="24"/>
              </w:rPr>
              <w:t>0</w:t>
            </w:r>
            <w:r>
              <w:rPr>
                <w:rFonts w:ascii="Times New Roman" w:hAnsi="Times New Roman" w:eastAsia="仿宋" w:cs="Times New Roman"/>
                <w:sz w:val="24"/>
              </w:rPr>
              <w:t>5.</w:t>
            </w:r>
            <w:r>
              <w:rPr>
                <w:rFonts w:hint="eastAsia" w:ascii="Times New Roman" w:hAnsi="Times New Roman" w:eastAsia="仿宋" w:cs="Times New Roman"/>
                <w:sz w:val="24"/>
              </w:rPr>
              <w:t>0</w:t>
            </w:r>
            <w:r>
              <w:rPr>
                <w:rFonts w:ascii="Times New Roman" w:hAnsi="Times New Roman" w:eastAsia="仿宋" w:cs="Times New Roman"/>
                <w:sz w:val="24"/>
              </w:rPr>
              <w:t>3，中国发明专利，ZL201810216477.1</w:t>
            </w:r>
          </w:p>
          <w:p w14:paraId="36616F6C">
            <w:pPr>
              <w:pStyle w:val="28"/>
              <w:snapToGrid w:val="0"/>
              <w:ind w:left="0"/>
              <w:contextualSpacing w:val="0"/>
              <w:jc w:val="both"/>
              <w:rPr>
                <w:rFonts w:ascii="Times New Roman" w:hAnsi="Times New Roman" w:eastAsia="仿宋" w:cs="Times New Roman"/>
                <w:sz w:val="24"/>
              </w:rPr>
            </w:pPr>
            <w:r>
              <w:rPr>
                <w:rFonts w:hint="eastAsia" w:ascii="Times New Roman" w:hAnsi="Times New Roman" w:eastAsia="仿宋" w:cs="仿宋"/>
                <w:kern w:val="0"/>
                <w:sz w:val="24"/>
              </w:rPr>
              <w:t>[3] 刘宝庆, 徐闻达, 谢明辉, 吴亮, 李哲, 张育牢, 孟绳续, 徐子龙, 周国忠；</w:t>
            </w:r>
            <w:r>
              <w:rPr>
                <w:rFonts w:ascii="Times New Roman" w:hAnsi="Times New Roman" w:eastAsia="仿宋"/>
                <w:sz w:val="24"/>
                <w:szCs w:val="21"/>
              </w:rPr>
              <w:t>适于粘稠物系混合的无芯轴双桨组合式搅拌釜</w:t>
            </w:r>
            <w:r>
              <w:rPr>
                <w:rFonts w:hint="eastAsia" w:ascii="Times New Roman" w:hAnsi="Times New Roman" w:eastAsia="仿宋"/>
                <w:sz w:val="24"/>
                <w:szCs w:val="21"/>
              </w:rPr>
              <w:t>；</w:t>
            </w:r>
            <w:r>
              <w:rPr>
                <w:rFonts w:ascii="Times New Roman" w:hAnsi="Times New Roman" w:eastAsia="仿宋"/>
                <w:sz w:val="24"/>
                <w:szCs w:val="21"/>
              </w:rPr>
              <w:t>授权</w:t>
            </w:r>
            <w:r>
              <w:rPr>
                <w:rFonts w:hint="eastAsia" w:ascii="Times New Roman" w:hAnsi="Times New Roman" w:eastAsia="仿宋"/>
                <w:sz w:val="24"/>
                <w:szCs w:val="21"/>
              </w:rPr>
              <w:t>日期</w:t>
            </w:r>
            <w:r>
              <w:rPr>
                <w:rFonts w:ascii="Times New Roman" w:hAnsi="Times New Roman" w:eastAsia="仿宋" w:cs="Times New Roman"/>
                <w:sz w:val="24"/>
              </w:rPr>
              <w:t>：2025.</w:t>
            </w:r>
            <w:r>
              <w:rPr>
                <w:rFonts w:hint="eastAsia" w:ascii="Times New Roman" w:hAnsi="Times New Roman" w:eastAsia="仿宋" w:cs="Times New Roman"/>
                <w:sz w:val="24"/>
              </w:rPr>
              <w:t>0</w:t>
            </w:r>
            <w:r>
              <w:rPr>
                <w:rFonts w:ascii="Times New Roman" w:hAnsi="Times New Roman" w:eastAsia="仿宋" w:cs="Times New Roman"/>
                <w:sz w:val="24"/>
              </w:rPr>
              <w:t>3.25，中国发明专利，ZL202411800553.5</w:t>
            </w:r>
          </w:p>
          <w:p w14:paraId="52FC5747">
            <w:pPr>
              <w:pStyle w:val="28"/>
              <w:snapToGrid w:val="0"/>
              <w:ind w:left="0"/>
              <w:contextualSpacing w:val="0"/>
              <w:jc w:val="both"/>
              <w:rPr>
                <w:rFonts w:ascii="Times New Roman" w:hAnsi="Times New Roman" w:eastAsia="仿宋" w:cs="Times New Roman"/>
                <w:sz w:val="24"/>
              </w:rPr>
            </w:pPr>
            <w:r>
              <w:rPr>
                <w:rFonts w:hint="eastAsia" w:ascii="Times New Roman" w:hAnsi="Times New Roman" w:eastAsia="仿宋" w:cs="仿宋"/>
                <w:kern w:val="0"/>
                <w:sz w:val="24"/>
              </w:rPr>
              <w:t>[4] 谢明辉, 邹晨, 高敏杰, 吴亮, 王炳信, 孟绳续, 荆万仓, 张育牢, 曾奥秋, 吴文江；</w:t>
            </w:r>
            <w:r>
              <w:rPr>
                <w:rFonts w:hint="eastAsia" w:ascii="Times New Roman" w:hAnsi="Times New Roman" w:eastAsia="仿宋"/>
                <w:sz w:val="24"/>
                <w:szCs w:val="21"/>
              </w:rPr>
              <w:t>具备正反交混流的搅拌设备</w:t>
            </w:r>
            <w:r>
              <w:rPr>
                <w:rFonts w:hint="eastAsia" w:ascii="Times New Roman" w:hAnsi="Times New Roman" w:eastAsia="仿宋" w:cs="Times New Roman"/>
                <w:sz w:val="24"/>
              </w:rPr>
              <w:t>；</w:t>
            </w:r>
            <w:r>
              <w:rPr>
                <w:rFonts w:ascii="Times New Roman" w:hAnsi="Times New Roman" w:eastAsia="仿宋"/>
                <w:sz w:val="24"/>
                <w:szCs w:val="21"/>
              </w:rPr>
              <w:t>授权</w:t>
            </w:r>
            <w:r>
              <w:rPr>
                <w:rFonts w:hint="eastAsia" w:ascii="Times New Roman" w:hAnsi="Times New Roman" w:eastAsia="仿宋"/>
                <w:sz w:val="24"/>
                <w:szCs w:val="21"/>
              </w:rPr>
              <w:t>日期</w:t>
            </w:r>
            <w:r>
              <w:rPr>
                <w:rFonts w:ascii="Times New Roman" w:hAnsi="Times New Roman" w:eastAsia="仿宋" w:cs="Times New Roman"/>
                <w:sz w:val="24"/>
              </w:rPr>
              <w:t>：</w:t>
            </w:r>
            <w:r>
              <w:rPr>
                <w:rFonts w:hint="eastAsia" w:ascii="Times New Roman" w:hAnsi="Times New Roman" w:eastAsia="仿宋" w:cs="Times New Roman"/>
                <w:sz w:val="24"/>
              </w:rPr>
              <w:t>2024.12.17</w:t>
            </w:r>
            <w:r>
              <w:rPr>
                <w:rFonts w:ascii="Times New Roman" w:hAnsi="Times New Roman" w:eastAsia="仿宋" w:cs="Times New Roman"/>
                <w:sz w:val="24"/>
              </w:rPr>
              <w:t>，中国发明专利，ZL202210021176.X</w:t>
            </w:r>
          </w:p>
          <w:p w14:paraId="35AD1EDA">
            <w:pPr>
              <w:pStyle w:val="28"/>
              <w:snapToGrid w:val="0"/>
              <w:ind w:left="0"/>
              <w:contextualSpacing w:val="0"/>
              <w:jc w:val="both"/>
              <w:rPr>
                <w:rFonts w:ascii="Times New Roman" w:hAnsi="Times New Roman" w:eastAsia="仿宋" w:cs="Times New Roman"/>
                <w:sz w:val="24"/>
              </w:rPr>
            </w:pPr>
            <w:r>
              <w:rPr>
                <w:rFonts w:hint="eastAsia" w:ascii="Times New Roman" w:hAnsi="Times New Roman" w:eastAsia="仿宋" w:cs="仿宋"/>
                <w:kern w:val="0"/>
                <w:sz w:val="24"/>
              </w:rPr>
              <w:t>[5] 邵成国, 汪剑豪, 邵建一, 王双喜；</w:t>
            </w:r>
            <w:r>
              <w:rPr>
                <w:rFonts w:hint="eastAsia" w:ascii="Times New Roman" w:hAnsi="Times New Roman" w:eastAsia="仿宋"/>
                <w:sz w:val="24"/>
                <w:szCs w:val="21"/>
              </w:rPr>
              <w:t>基于一步法工艺的底部双分散与均质互换型牙膏制膏机</w:t>
            </w:r>
            <w:r>
              <w:rPr>
                <w:rFonts w:hint="eastAsia" w:ascii="Times New Roman" w:hAnsi="Times New Roman" w:eastAsia="仿宋" w:cs="Times New Roman"/>
                <w:sz w:val="24"/>
              </w:rPr>
              <w:t>；</w:t>
            </w:r>
            <w:r>
              <w:rPr>
                <w:rFonts w:ascii="Times New Roman" w:hAnsi="Times New Roman" w:eastAsia="仿宋"/>
                <w:sz w:val="24"/>
                <w:szCs w:val="21"/>
              </w:rPr>
              <w:t>授权</w:t>
            </w:r>
            <w:r>
              <w:rPr>
                <w:rFonts w:hint="eastAsia" w:ascii="Times New Roman" w:hAnsi="Times New Roman" w:eastAsia="仿宋"/>
                <w:sz w:val="24"/>
                <w:szCs w:val="21"/>
              </w:rPr>
              <w:t>日期</w:t>
            </w:r>
            <w:r>
              <w:rPr>
                <w:rFonts w:ascii="Times New Roman" w:hAnsi="Times New Roman" w:eastAsia="仿宋" w:cs="Times New Roman"/>
                <w:sz w:val="24"/>
              </w:rPr>
              <w:t>：</w:t>
            </w:r>
            <w:r>
              <w:rPr>
                <w:rFonts w:hint="eastAsia" w:ascii="Times New Roman" w:hAnsi="Times New Roman" w:eastAsia="仿宋" w:cs="Times New Roman"/>
                <w:sz w:val="24"/>
              </w:rPr>
              <w:t>2024.05.28</w:t>
            </w:r>
            <w:r>
              <w:rPr>
                <w:rFonts w:ascii="Times New Roman" w:hAnsi="Times New Roman" w:eastAsia="仿宋" w:cs="Times New Roman"/>
                <w:sz w:val="24"/>
              </w:rPr>
              <w:t>，中国发明专利，</w:t>
            </w:r>
            <w:r>
              <w:rPr>
                <w:rFonts w:hint="eastAsia" w:ascii="Times New Roman" w:hAnsi="Times New Roman" w:eastAsia="仿宋" w:cs="Times New Roman"/>
                <w:sz w:val="24"/>
              </w:rPr>
              <w:t>ZL20181 0039701.4</w:t>
            </w:r>
          </w:p>
          <w:p w14:paraId="4D8565CA">
            <w:pPr>
              <w:snapToGrid w:val="0"/>
              <w:rPr>
                <w:rFonts w:eastAsia="仿宋"/>
                <w:b/>
                <w:bCs/>
                <w:sz w:val="24"/>
                <w:szCs w:val="24"/>
              </w:rPr>
            </w:pPr>
            <w:r>
              <w:rPr>
                <w:rFonts w:hint="eastAsia" w:eastAsia="仿宋"/>
                <w:b/>
                <w:bCs/>
                <w:sz w:val="24"/>
                <w:szCs w:val="24"/>
              </w:rPr>
              <w:t>2、主要论文目录：</w:t>
            </w:r>
          </w:p>
          <w:p w14:paraId="119ED2FF">
            <w:pPr>
              <w:snapToGrid w:val="0"/>
              <w:rPr>
                <w:rFonts w:eastAsia="仿宋"/>
                <w:sz w:val="24"/>
                <w:szCs w:val="24"/>
              </w:rPr>
            </w:pPr>
            <w:r>
              <w:rPr>
                <w:rFonts w:hint="eastAsia" w:eastAsia="仿宋"/>
                <w:sz w:val="24"/>
                <w:szCs w:val="24"/>
              </w:rPr>
              <w:t>[1] Yang Chao，Lu Hancheng，Wang Bo，Xu Zilong，Liu Baoqing. Flow regime identification using pressure fluctuation signals in an aerated vessel stirred[J]. Chemical Engineering Science, 2023, 280: 1-14.</w:t>
            </w:r>
          </w:p>
          <w:p w14:paraId="15114799">
            <w:pPr>
              <w:snapToGrid w:val="0"/>
              <w:rPr>
                <w:rFonts w:eastAsia="仿宋"/>
                <w:sz w:val="24"/>
                <w:szCs w:val="24"/>
              </w:rPr>
            </w:pPr>
            <w:r>
              <w:rPr>
                <w:rFonts w:hint="eastAsia" w:eastAsia="仿宋"/>
                <w:sz w:val="24"/>
                <w:szCs w:val="24"/>
              </w:rPr>
              <w:t xml:space="preserve">[2] </w:t>
            </w:r>
            <w:r>
              <w:rPr>
                <w:rFonts w:eastAsia="仿宋"/>
                <w:sz w:val="24"/>
                <w:szCs w:val="24"/>
              </w:rPr>
              <w:t>Xu Zilong, Wan Lixiang, Li Zhe, Liu Baoqing. Numerical study on the synergistic mechanism of coaxial mixers in dense solid-liquid mixing systems[J]. Industrial &amp; Engineering Chemistry Research, 2023, 62(29): 11744-11755.</w:t>
            </w:r>
          </w:p>
          <w:p w14:paraId="52F46C95">
            <w:pPr>
              <w:snapToGrid w:val="0"/>
              <w:rPr>
                <w:rFonts w:eastAsia="仿宋"/>
                <w:sz w:val="24"/>
                <w:szCs w:val="24"/>
              </w:rPr>
            </w:pPr>
            <w:r>
              <w:rPr>
                <w:rFonts w:hint="eastAsia" w:eastAsia="仿宋"/>
                <w:sz w:val="24"/>
                <w:szCs w:val="24"/>
              </w:rPr>
              <w:t xml:space="preserve">[3] </w:t>
            </w:r>
            <w:r>
              <w:rPr>
                <w:rFonts w:eastAsia="仿宋"/>
                <w:sz w:val="24"/>
                <w:szCs w:val="24"/>
              </w:rPr>
              <w:t>Xu Zilong, Jin Zhijiang, Liu Baoqing, Sunden Bengt. Experimental investigation on solid suspension performance of coaxial mixer in viscous and high solid loading systems[J]. Chemical Engineering Science, 2019, 208: 1-12.</w:t>
            </w:r>
          </w:p>
          <w:p w14:paraId="05F66C38">
            <w:pPr>
              <w:snapToGrid w:val="0"/>
              <w:rPr>
                <w:rFonts w:eastAsia="仿宋"/>
                <w:sz w:val="24"/>
                <w:szCs w:val="24"/>
              </w:rPr>
            </w:pPr>
            <w:r>
              <w:rPr>
                <w:rFonts w:hint="eastAsia" w:eastAsia="仿宋"/>
                <w:sz w:val="24"/>
                <w:szCs w:val="24"/>
              </w:rPr>
              <w:t xml:space="preserve">[4] </w:t>
            </w:r>
            <w:r>
              <w:rPr>
                <w:rFonts w:eastAsia="仿宋"/>
                <w:sz w:val="24"/>
                <w:szCs w:val="24"/>
              </w:rPr>
              <w:t>Liu Baoqing, Wang Manman, Liu Jingliang, Qian Luyan, Jin Zhijiang. Experimental study on micromixing characteristics of novel large-double-blade impeller[J]. Chemical Engineering Science, 2015, 123: 641-647.</w:t>
            </w:r>
          </w:p>
          <w:p w14:paraId="7D659455">
            <w:pPr>
              <w:snapToGrid w:val="0"/>
              <w:spacing w:after="156" w:afterLines="50"/>
              <w:rPr>
                <w:rFonts w:hint="eastAsia" w:eastAsia="仿宋_GB2312"/>
                <w:bCs/>
                <w:sz w:val="24"/>
                <w:szCs w:val="24"/>
              </w:rPr>
            </w:pPr>
            <w:r>
              <w:rPr>
                <w:rFonts w:hint="eastAsia" w:eastAsia="仿宋"/>
                <w:sz w:val="24"/>
                <w:szCs w:val="24"/>
              </w:rPr>
              <w:t xml:space="preserve">[5] </w:t>
            </w:r>
            <w:r>
              <w:rPr>
                <w:rFonts w:eastAsia="仿宋"/>
                <w:sz w:val="24"/>
                <w:szCs w:val="24"/>
              </w:rPr>
              <w:t>Liu Baoqing, Liu Jingliang, Zhang Yikun, Chen Mingqiang, Qin Fulei, Jin Zhijiang. Experimental research on the power consumption of a coaxial mixer in a fluid with high viscosity[J]. Industrial &amp; Engineering Chemistry Research, 2013, 52(20): 6862-6867.</w:t>
            </w:r>
          </w:p>
        </w:tc>
      </w:tr>
      <w:tr w14:paraId="099AF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248853DC">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1D05EECC">
            <w:pPr>
              <w:snapToGrid w:val="0"/>
              <w:spacing w:after="0" w:line="240" w:lineRule="auto"/>
              <w:rPr>
                <w:rFonts w:eastAsia="仿宋_GB2312"/>
                <w:bCs/>
                <w:sz w:val="24"/>
                <w:szCs w:val="24"/>
              </w:rPr>
            </w:pPr>
            <w:r>
              <w:rPr>
                <w:rFonts w:hint="eastAsia" w:eastAsia="仿宋_GB2312"/>
                <w:bCs/>
                <w:sz w:val="24"/>
                <w:szCs w:val="24"/>
              </w:rPr>
              <w:t>刘宝庆</w:t>
            </w:r>
            <w:r>
              <w:rPr>
                <w:rFonts w:eastAsia="仿宋_GB2312"/>
                <w:bCs/>
                <w:sz w:val="24"/>
                <w:szCs w:val="24"/>
              </w:rPr>
              <w:t>，排名1，</w:t>
            </w:r>
            <w:r>
              <w:rPr>
                <w:rFonts w:hint="eastAsia" w:eastAsia="仿宋_GB2312"/>
                <w:bCs/>
                <w:sz w:val="24"/>
                <w:szCs w:val="24"/>
              </w:rPr>
              <w:t>教授，浙江大学</w:t>
            </w:r>
            <w:r>
              <w:rPr>
                <w:rFonts w:eastAsia="仿宋_GB2312"/>
                <w:bCs/>
                <w:sz w:val="24"/>
                <w:szCs w:val="24"/>
              </w:rPr>
              <w:t>；</w:t>
            </w:r>
          </w:p>
          <w:p w14:paraId="07A6D3B7">
            <w:pPr>
              <w:snapToGrid w:val="0"/>
              <w:spacing w:after="0" w:line="240" w:lineRule="auto"/>
              <w:rPr>
                <w:rFonts w:eastAsia="仿宋_GB2312"/>
                <w:bCs/>
                <w:sz w:val="24"/>
                <w:szCs w:val="24"/>
              </w:rPr>
            </w:pPr>
            <w:r>
              <w:rPr>
                <w:rFonts w:hint="eastAsia" w:eastAsia="仿宋_GB2312"/>
                <w:bCs/>
                <w:sz w:val="24"/>
                <w:szCs w:val="24"/>
              </w:rPr>
              <w:t>谢明辉</w:t>
            </w:r>
            <w:r>
              <w:rPr>
                <w:rFonts w:eastAsia="仿宋_GB2312"/>
                <w:bCs/>
                <w:sz w:val="24"/>
                <w:szCs w:val="24"/>
              </w:rPr>
              <w:t>，排名2，</w:t>
            </w:r>
            <w:r>
              <w:rPr>
                <w:rFonts w:hint="eastAsia" w:eastAsia="仿宋_GB2312"/>
                <w:bCs/>
                <w:sz w:val="24"/>
                <w:szCs w:val="24"/>
              </w:rPr>
              <w:t>正高级工程师，浙江长城搅拌设备股份有限公司</w:t>
            </w:r>
            <w:r>
              <w:rPr>
                <w:rFonts w:eastAsia="仿宋_GB2312"/>
                <w:bCs/>
                <w:sz w:val="24"/>
                <w:szCs w:val="24"/>
              </w:rPr>
              <w:t>；</w:t>
            </w:r>
          </w:p>
          <w:p w14:paraId="4A5BDDF0">
            <w:pPr>
              <w:snapToGrid w:val="0"/>
              <w:spacing w:after="0" w:line="240" w:lineRule="auto"/>
              <w:rPr>
                <w:rFonts w:eastAsia="仿宋_GB2312"/>
                <w:bCs/>
                <w:sz w:val="24"/>
                <w:szCs w:val="24"/>
              </w:rPr>
            </w:pPr>
            <w:r>
              <w:rPr>
                <w:rFonts w:hint="eastAsia" w:eastAsia="仿宋_GB2312"/>
                <w:bCs/>
                <w:sz w:val="24"/>
                <w:szCs w:val="24"/>
              </w:rPr>
              <w:t>邵健伟</w:t>
            </w:r>
            <w:r>
              <w:rPr>
                <w:rFonts w:eastAsia="仿宋_GB2312"/>
                <w:bCs/>
                <w:sz w:val="24"/>
                <w:szCs w:val="24"/>
              </w:rPr>
              <w:t>，排名3，</w:t>
            </w:r>
            <w:r>
              <w:rPr>
                <w:rFonts w:hint="eastAsia" w:eastAsia="仿宋_GB2312"/>
                <w:bCs/>
                <w:sz w:val="24"/>
                <w:szCs w:val="24"/>
              </w:rPr>
              <w:t>工程师，浙江天富科技有限公司</w:t>
            </w:r>
            <w:r>
              <w:rPr>
                <w:rFonts w:eastAsia="仿宋_GB2312"/>
                <w:bCs/>
                <w:sz w:val="24"/>
                <w:szCs w:val="24"/>
              </w:rPr>
              <w:t>；</w:t>
            </w:r>
          </w:p>
          <w:p w14:paraId="1AC1E287">
            <w:pPr>
              <w:snapToGrid w:val="0"/>
              <w:spacing w:after="0" w:line="240" w:lineRule="auto"/>
              <w:rPr>
                <w:rFonts w:hint="eastAsia" w:eastAsia="仿宋_GB2312"/>
                <w:bCs/>
                <w:sz w:val="24"/>
                <w:szCs w:val="24"/>
              </w:rPr>
            </w:pPr>
            <w:r>
              <w:rPr>
                <w:rFonts w:hint="eastAsia" w:eastAsia="仿宋_GB2312"/>
                <w:bCs/>
                <w:sz w:val="24"/>
                <w:szCs w:val="24"/>
              </w:rPr>
              <w:t>金志江，排名4，教授，浙江大学温州研究院</w:t>
            </w:r>
          </w:p>
          <w:p w14:paraId="445D70D7">
            <w:pPr>
              <w:snapToGrid w:val="0"/>
              <w:spacing w:after="0" w:line="240" w:lineRule="auto"/>
              <w:rPr>
                <w:rFonts w:eastAsia="仿宋_GB2312"/>
                <w:bCs/>
                <w:sz w:val="24"/>
                <w:szCs w:val="24"/>
              </w:rPr>
            </w:pPr>
            <w:r>
              <w:rPr>
                <w:rFonts w:hint="eastAsia" w:eastAsia="仿宋_GB2312"/>
                <w:bCs/>
                <w:sz w:val="24"/>
                <w:szCs w:val="24"/>
              </w:rPr>
              <w:t>秦龙，排名5，正高级工程师，浙江新安化工集团股份有限公司；</w:t>
            </w:r>
          </w:p>
          <w:p w14:paraId="100A84B6">
            <w:pPr>
              <w:snapToGrid w:val="0"/>
              <w:spacing w:after="0" w:line="240" w:lineRule="auto"/>
              <w:rPr>
                <w:rFonts w:eastAsia="仿宋_GB2312"/>
                <w:bCs/>
                <w:sz w:val="24"/>
                <w:szCs w:val="24"/>
              </w:rPr>
            </w:pPr>
            <w:r>
              <w:rPr>
                <w:rFonts w:hint="eastAsia" w:eastAsia="仿宋_GB2312"/>
                <w:bCs/>
                <w:sz w:val="24"/>
                <w:szCs w:val="24"/>
              </w:rPr>
              <w:t>张利，排名6，高级工程师，中科润美（青岛）材料科技有限公司；</w:t>
            </w:r>
          </w:p>
          <w:p w14:paraId="79CA1FF8">
            <w:pPr>
              <w:snapToGrid w:val="0"/>
              <w:spacing w:after="0" w:line="240" w:lineRule="auto"/>
              <w:rPr>
                <w:rFonts w:eastAsia="仿宋_GB2312"/>
                <w:bCs/>
                <w:sz w:val="24"/>
                <w:szCs w:val="24"/>
              </w:rPr>
            </w:pPr>
            <w:r>
              <w:rPr>
                <w:rFonts w:hint="eastAsia" w:eastAsia="仿宋_GB2312"/>
                <w:bCs/>
                <w:sz w:val="24"/>
                <w:szCs w:val="24"/>
              </w:rPr>
              <w:t>徐子龙，排名7，工程师，浙江大学；</w:t>
            </w:r>
          </w:p>
          <w:p w14:paraId="3F36263A">
            <w:pPr>
              <w:snapToGrid w:val="0"/>
              <w:spacing w:after="0" w:line="240" w:lineRule="auto"/>
              <w:rPr>
                <w:rFonts w:eastAsia="仿宋_GB2312"/>
                <w:bCs/>
                <w:sz w:val="24"/>
                <w:szCs w:val="24"/>
              </w:rPr>
            </w:pPr>
            <w:r>
              <w:rPr>
                <w:rFonts w:hint="eastAsia" w:eastAsia="仿宋_GB2312"/>
                <w:bCs/>
                <w:sz w:val="24"/>
                <w:szCs w:val="24"/>
              </w:rPr>
              <w:t>吴亮，排名8，高级工程师，浙江长城搅拌设备股份有限公司</w:t>
            </w:r>
            <w:r>
              <w:rPr>
                <w:rFonts w:eastAsia="仿宋_GB2312"/>
                <w:bCs/>
                <w:sz w:val="24"/>
                <w:szCs w:val="24"/>
              </w:rPr>
              <w:t>；</w:t>
            </w:r>
          </w:p>
          <w:p w14:paraId="2F56BA3C">
            <w:pPr>
              <w:snapToGrid w:val="0"/>
              <w:spacing w:after="0" w:line="240" w:lineRule="auto"/>
              <w:rPr>
                <w:rFonts w:eastAsia="仿宋_GB2312"/>
                <w:bCs/>
                <w:sz w:val="24"/>
                <w:szCs w:val="24"/>
              </w:rPr>
            </w:pPr>
            <w:r>
              <w:rPr>
                <w:rFonts w:hint="eastAsia" w:eastAsia="仿宋_GB2312"/>
                <w:bCs/>
                <w:sz w:val="24"/>
                <w:szCs w:val="24"/>
              </w:rPr>
              <w:t>汪剑豪，排名9，工程师，浙江天富科技有限公司</w:t>
            </w:r>
          </w:p>
          <w:p w14:paraId="74F5D403">
            <w:pPr>
              <w:snapToGrid w:val="0"/>
              <w:spacing w:after="0" w:line="240" w:lineRule="auto"/>
              <w:rPr>
                <w:rFonts w:eastAsia="仿宋_GB2312"/>
                <w:bCs/>
                <w:sz w:val="24"/>
                <w:szCs w:val="24"/>
              </w:rPr>
            </w:pPr>
            <w:r>
              <w:rPr>
                <w:rFonts w:hint="eastAsia" w:eastAsia="仿宋_GB2312"/>
                <w:bCs/>
                <w:sz w:val="24"/>
                <w:szCs w:val="24"/>
              </w:rPr>
              <w:t>屠民海，排名10，正高级工程师，浙江新安化工集团股份有限公司；</w:t>
            </w:r>
          </w:p>
          <w:p w14:paraId="2FDC7CD4">
            <w:pPr>
              <w:snapToGrid w:val="0"/>
              <w:spacing w:after="0" w:line="240" w:lineRule="auto"/>
              <w:rPr>
                <w:rFonts w:eastAsia="仿宋_GB2312"/>
                <w:bCs/>
                <w:sz w:val="24"/>
                <w:szCs w:val="24"/>
              </w:rPr>
            </w:pPr>
            <w:r>
              <w:rPr>
                <w:rFonts w:hint="eastAsia" w:eastAsia="仿宋_GB2312"/>
                <w:bCs/>
                <w:sz w:val="24"/>
                <w:szCs w:val="24"/>
              </w:rPr>
              <w:t>豆晓辉，排名11，工程师，中科润美（青岛）材料科技有限公司；</w:t>
            </w:r>
          </w:p>
          <w:p w14:paraId="3AC5E31E">
            <w:pPr>
              <w:snapToGrid w:val="0"/>
              <w:spacing w:after="0" w:line="240" w:lineRule="auto"/>
              <w:rPr>
                <w:rFonts w:eastAsia="仿宋_GB2312"/>
                <w:bCs/>
                <w:sz w:val="24"/>
                <w:szCs w:val="24"/>
              </w:rPr>
            </w:pPr>
            <w:r>
              <w:rPr>
                <w:rFonts w:hint="eastAsia" w:eastAsia="仿宋_GB2312"/>
                <w:bCs/>
                <w:sz w:val="24"/>
                <w:szCs w:val="24"/>
              </w:rPr>
              <w:t>周国忠，排名12，正高级工程师，浙江长城搅拌设备股份有限公司</w:t>
            </w:r>
            <w:r>
              <w:rPr>
                <w:rFonts w:eastAsia="仿宋_GB2312"/>
                <w:bCs/>
                <w:sz w:val="24"/>
                <w:szCs w:val="24"/>
              </w:rPr>
              <w:t>；</w:t>
            </w:r>
          </w:p>
          <w:p w14:paraId="07B6C472">
            <w:pPr>
              <w:snapToGrid w:val="0"/>
              <w:spacing w:after="0" w:line="240" w:lineRule="auto"/>
              <w:rPr>
                <w:rFonts w:hint="eastAsia" w:eastAsia="仿宋_GB2312"/>
                <w:bCs/>
                <w:sz w:val="24"/>
                <w:szCs w:val="24"/>
              </w:rPr>
            </w:pPr>
            <w:r>
              <w:rPr>
                <w:rFonts w:hint="eastAsia" w:eastAsia="仿宋_GB2312"/>
                <w:bCs/>
                <w:sz w:val="24"/>
                <w:szCs w:val="24"/>
              </w:rPr>
              <w:t>李哲，排名13，无， 浙江大学</w:t>
            </w:r>
          </w:p>
        </w:tc>
      </w:tr>
      <w:tr w14:paraId="2A522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18FBB2FA">
            <w:pPr>
              <w:spacing w:line="440" w:lineRule="exact"/>
              <w:jc w:val="center"/>
              <w:rPr>
                <w:rFonts w:eastAsia="仿宋"/>
                <w:bCs/>
                <w:sz w:val="24"/>
                <w:szCs w:val="24"/>
              </w:rPr>
            </w:pPr>
            <w:r>
              <w:rPr>
                <w:rFonts w:eastAsia="仿宋_GB2312"/>
                <w:bCs/>
                <w:sz w:val="28"/>
                <w:szCs w:val="24"/>
              </w:rPr>
              <w:t>主要完成单位</w:t>
            </w:r>
          </w:p>
        </w:tc>
        <w:tc>
          <w:tcPr>
            <w:tcW w:w="6237" w:type="dxa"/>
            <w:tcBorders>
              <w:left w:val="single" w:color="auto" w:sz="4" w:space="0"/>
            </w:tcBorders>
            <w:vAlign w:val="center"/>
          </w:tcPr>
          <w:p w14:paraId="0B0DEEC0">
            <w:pPr>
              <w:spacing w:line="440" w:lineRule="exact"/>
              <w:jc w:val="left"/>
              <w:rPr>
                <w:rFonts w:eastAsia="仿宋_GB2312"/>
                <w:bCs/>
                <w:sz w:val="24"/>
                <w:szCs w:val="24"/>
              </w:rPr>
            </w:pPr>
            <w:r>
              <w:rPr>
                <w:rFonts w:eastAsia="仿宋_GB2312"/>
                <w:bCs/>
                <w:sz w:val="24"/>
                <w:szCs w:val="24"/>
              </w:rPr>
              <w:t>1.</w:t>
            </w:r>
            <w:r>
              <w:rPr>
                <w:rFonts w:hint="eastAsia" w:eastAsia="仿宋_GB2312"/>
                <w:bCs/>
                <w:sz w:val="24"/>
                <w:szCs w:val="24"/>
              </w:rPr>
              <w:t xml:space="preserve"> 浙江大学</w:t>
            </w:r>
          </w:p>
          <w:p w14:paraId="308CEBA1">
            <w:pPr>
              <w:spacing w:line="440" w:lineRule="exact"/>
              <w:jc w:val="left"/>
              <w:rPr>
                <w:rFonts w:hint="eastAsia" w:eastAsia="仿宋_GB2312"/>
                <w:bCs/>
                <w:sz w:val="24"/>
                <w:szCs w:val="24"/>
              </w:rPr>
            </w:pPr>
            <w:r>
              <w:rPr>
                <w:rFonts w:eastAsia="仿宋_GB2312"/>
                <w:bCs/>
                <w:sz w:val="24"/>
                <w:szCs w:val="24"/>
              </w:rPr>
              <w:t>2.</w:t>
            </w:r>
            <w:r>
              <w:rPr>
                <w:rFonts w:hint="eastAsia" w:eastAsia="仿宋_GB2312"/>
                <w:bCs/>
                <w:sz w:val="24"/>
                <w:szCs w:val="24"/>
              </w:rPr>
              <w:t xml:space="preserve"> 浙江大学温州研究院</w:t>
            </w:r>
          </w:p>
          <w:p w14:paraId="29385BF4">
            <w:pPr>
              <w:spacing w:line="440" w:lineRule="exact"/>
              <w:jc w:val="left"/>
              <w:rPr>
                <w:rFonts w:hint="eastAsia" w:eastAsia="仿宋_GB2312"/>
                <w:bCs/>
                <w:sz w:val="24"/>
                <w:szCs w:val="24"/>
              </w:rPr>
            </w:pPr>
            <w:r>
              <w:rPr>
                <w:rFonts w:eastAsia="仿宋_GB2312"/>
                <w:bCs/>
                <w:sz w:val="24"/>
                <w:szCs w:val="24"/>
              </w:rPr>
              <w:t>3.</w:t>
            </w:r>
            <w:r>
              <w:rPr>
                <w:rFonts w:hint="eastAsia" w:eastAsia="仿宋_GB2312"/>
                <w:bCs/>
                <w:sz w:val="24"/>
                <w:szCs w:val="24"/>
              </w:rPr>
              <w:t xml:space="preserve"> 浙江长城搅拌设备股份有限公司</w:t>
            </w:r>
          </w:p>
          <w:p w14:paraId="5B2E1C13">
            <w:pPr>
              <w:spacing w:line="440" w:lineRule="exact"/>
              <w:jc w:val="left"/>
              <w:rPr>
                <w:rFonts w:eastAsia="仿宋_GB2312"/>
                <w:bCs/>
                <w:sz w:val="24"/>
                <w:szCs w:val="24"/>
              </w:rPr>
            </w:pPr>
            <w:r>
              <w:rPr>
                <w:rFonts w:hint="eastAsia" w:eastAsia="仿宋_GB2312"/>
                <w:bCs/>
                <w:sz w:val="24"/>
                <w:szCs w:val="24"/>
              </w:rPr>
              <w:t>4. 浙江天富科技有限公司</w:t>
            </w:r>
          </w:p>
          <w:p w14:paraId="507CA3CA">
            <w:pPr>
              <w:spacing w:line="440" w:lineRule="exact"/>
              <w:jc w:val="left"/>
              <w:rPr>
                <w:rFonts w:eastAsia="仿宋_GB2312"/>
                <w:bCs/>
                <w:sz w:val="24"/>
                <w:szCs w:val="24"/>
              </w:rPr>
            </w:pPr>
            <w:r>
              <w:rPr>
                <w:rFonts w:hint="eastAsia" w:eastAsia="仿宋_GB2312"/>
                <w:bCs/>
                <w:sz w:val="24"/>
                <w:szCs w:val="24"/>
              </w:rPr>
              <w:t>5. 浙江新安化工集团股份有限公司</w:t>
            </w:r>
          </w:p>
          <w:p w14:paraId="722C58A9">
            <w:pPr>
              <w:spacing w:line="440" w:lineRule="exact"/>
              <w:jc w:val="left"/>
              <w:rPr>
                <w:rFonts w:hint="eastAsia" w:eastAsia="仿宋"/>
                <w:bCs/>
                <w:sz w:val="24"/>
                <w:szCs w:val="24"/>
              </w:rPr>
            </w:pPr>
            <w:r>
              <w:rPr>
                <w:rFonts w:hint="eastAsia" w:eastAsia="仿宋_GB2312"/>
                <w:bCs/>
                <w:sz w:val="24"/>
                <w:szCs w:val="24"/>
              </w:rPr>
              <w:t>6. 中科润美（青岛）材料科技有限公司</w:t>
            </w:r>
          </w:p>
        </w:tc>
      </w:tr>
      <w:tr w14:paraId="59337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2DBB9157">
            <w:pPr>
              <w:spacing w:line="440" w:lineRule="exact"/>
              <w:jc w:val="center"/>
              <w:rPr>
                <w:rFonts w:eastAsia="仿宋"/>
                <w:bCs/>
                <w:sz w:val="28"/>
                <w:szCs w:val="24"/>
              </w:rPr>
            </w:pPr>
            <w:r>
              <w:rPr>
                <w:rFonts w:eastAsia="仿宋_GB2312"/>
                <w:bCs/>
                <w:sz w:val="28"/>
                <w:szCs w:val="24"/>
              </w:rPr>
              <w:t>提名单位</w:t>
            </w:r>
          </w:p>
        </w:tc>
        <w:tc>
          <w:tcPr>
            <w:tcW w:w="6237" w:type="dxa"/>
            <w:vAlign w:val="center"/>
          </w:tcPr>
          <w:p w14:paraId="0FC37A32">
            <w:pPr>
              <w:ind w:firstLine="240" w:firstLineChars="100"/>
              <w:contextualSpacing/>
              <w:rPr>
                <w:rFonts w:eastAsia="仿宋_GB2312"/>
              </w:rPr>
            </w:pPr>
            <w:r>
              <w:rPr>
                <w:rFonts w:hint="eastAsia" w:eastAsia="仿宋_GB2312"/>
                <w:bCs/>
                <w:sz w:val="24"/>
                <w:szCs w:val="24"/>
              </w:rPr>
              <w:t>浙江大学</w:t>
            </w:r>
          </w:p>
        </w:tc>
      </w:tr>
      <w:tr w14:paraId="74C13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276246DB">
            <w:pPr>
              <w:spacing w:line="440" w:lineRule="exact"/>
              <w:jc w:val="center"/>
              <w:rPr>
                <w:rFonts w:eastAsia="仿宋_GB2312"/>
                <w:bCs/>
                <w:sz w:val="28"/>
                <w:szCs w:val="24"/>
              </w:rPr>
            </w:pPr>
            <w:r>
              <w:rPr>
                <w:rFonts w:eastAsia="仿宋_GB2312"/>
                <w:bCs/>
                <w:sz w:val="28"/>
                <w:szCs w:val="24"/>
              </w:rPr>
              <w:t>提名意见</w:t>
            </w:r>
          </w:p>
        </w:tc>
        <w:tc>
          <w:tcPr>
            <w:tcW w:w="6237" w:type="dxa"/>
            <w:vAlign w:val="center"/>
          </w:tcPr>
          <w:p w14:paraId="4BCA4977">
            <w:pPr>
              <w:spacing w:after="0" w:line="360" w:lineRule="exact"/>
              <w:ind w:firstLine="488" w:firstLineChars="200"/>
              <w:rPr>
                <w:rFonts w:hint="eastAsia" w:ascii="仿宋" w:hAnsi="仿宋" w:eastAsia="仿宋"/>
                <w:bCs/>
                <w:spacing w:val="2"/>
                <w:sz w:val="24"/>
                <w:szCs w:val="24"/>
              </w:rPr>
            </w:pPr>
            <w:r>
              <w:rPr>
                <w:rFonts w:hint="eastAsia" w:ascii="仿宋" w:hAnsi="仿宋" w:eastAsia="仿宋"/>
                <w:bCs/>
                <w:spacing w:val="2"/>
                <w:sz w:val="24"/>
                <w:szCs w:val="24"/>
              </w:rPr>
              <w:t>搅拌设备是石化、医药、食品、新材料等流程工业的“心脏”，发展高端搅拌设备，是实现中国制造2025战略中“强化工业基础能力”的具体体现，对保障国家战略支柱产业安全稳定，推动过程工业绿色低碳转型，以及实现科技自立自强具有重要作用。作为搅拌设备的核心部件，搅拌器直接决定了系统的混合效果与能量消耗。针对高粘、变粘、高固、高气含等复杂苛刻体系下</w:t>
            </w:r>
            <w:r>
              <w:rPr>
                <w:rFonts w:ascii="仿宋" w:hAnsi="仿宋" w:eastAsia="仿宋"/>
                <w:bCs/>
                <w:spacing w:val="2"/>
                <w:sz w:val="24"/>
                <w:szCs w:val="24"/>
              </w:rPr>
              <w:t>搅拌过程强化机制不明、多相流态精准表征难度大、单轴搅拌器适应性差等技术难题，项目团队自2008年起在国家自然科学基金等</w:t>
            </w:r>
            <w:r>
              <w:rPr>
                <w:rFonts w:hint="eastAsia" w:ascii="仿宋" w:hAnsi="仿宋" w:eastAsia="仿宋"/>
                <w:bCs/>
                <w:spacing w:val="2"/>
                <w:sz w:val="24"/>
                <w:szCs w:val="24"/>
              </w:rPr>
              <w:t>项目</w:t>
            </w:r>
            <w:r>
              <w:rPr>
                <w:rFonts w:ascii="仿宋" w:hAnsi="仿宋" w:eastAsia="仿宋"/>
                <w:bCs/>
                <w:spacing w:val="2"/>
                <w:sz w:val="24"/>
                <w:szCs w:val="24"/>
              </w:rPr>
              <w:t>资助下，</w:t>
            </w:r>
            <w:r>
              <w:rPr>
                <w:rFonts w:hint="eastAsia" w:ascii="仿宋" w:hAnsi="仿宋" w:eastAsia="仿宋"/>
                <w:bCs/>
                <w:spacing w:val="2"/>
                <w:sz w:val="24"/>
                <w:szCs w:val="24"/>
              </w:rPr>
              <w:t>开发了全周期综合性能优异的新型宽适应性搅拌技术并建立完整了的技术支撑体系，</w:t>
            </w:r>
            <w:r>
              <w:rPr>
                <w:rFonts w:ascii="仿宋" w:hAnsi="仿宋" w:eastAsia="仿宋"/>
                <w:bCs/>
                <w:spacing w:val="2"/>
                <w:sz w:val="24"/>
                <w:szCs w:val="24"/>
              </w:rPr>
              <w:t>实现了高端搅拌装备在复杂工况下的自主化升级与规模化应用</w:t>
            </w:r>
            <w:r>
              <w:rPr>
                <w:rFonts w:hint="eastAsia" w:ascii="仿宋" w:hAnsi="仿宋" w:eastAsia="仿宋"/>
                <w:bCs/>
                <w:spacing w:val="2"/>
                <w:sz w:val="24"/>
                <w:szCs w:val="24"/>
              </w:rPr>
              <w:t>。主要成果如下：</w:t>
            </w:r>
          </w:p>
          <w:p w14:paraId="453DE721">
            <w:pPr>
              <w:spacing w:after="0" w:line="360" w:lineRule="exact"/>
              <w:ind w:firstLine="244" w:firstLineChars="100"/>
              <w:rPr>
                <w:rFonts w:ascii="仿宋" w:hAnsi="仿宋" w:eastAsia="仿宋"/>
                <w:bCs/>
                <w:spacing w:val="2"/>
                <w:sz w:val="24"/>
                <w:szCs w:val="24"/>
              </w:rPr>
            </w:pPr>
            <w:r>
              <w:rPr>
                <w:rFonts w:hint="eastAsia" w:ascii="仿宋" w:hAnsi="仿宋" w:eastAsia="仿宋"/>
                <w:bCs/>
                <w:spacing w:val="2"/>
                <w:sz w:val="24"/>
                <w:szCs w:val="24"/>
              </w:rPr>
              <w:t>（1）发展了考虑颗粒碰撞与摩擦影响的固相摩擦-动力本构模型、考虑湍流影响的流体曳力模型、考虑气泡破碎与聚并等介尺度行为的气液分散模型以及微观混合模型、冷却结晶模型、流动-传递-反应耦合模型等，建立了一套具有较高预测精度和工程推广价值的双轴搅拌性能数值模拟方法。</w:t>
            </w:r>
          </w:p>
          <w:p w14:paraId="72D8AAC3">
            <w:pPr>
              <w:spacing w:after="0" w:line="360" w:lineRule="exact"/>
              <w:ind w:firstLine="244" w:firstLineChars="100"/>
              <w:rPr>
                <w:rFonts w:ascii="仿宋" w:hAnsi="仿宋" w:eastAsia="仿宋"/>
                <w:bCs/>
                <w:spacing w:val="2"/>
                <w:sz w:val="24"/>
                <w:szCs w:val="24"/>
              </w:rPr>
            </w:pPr>
            <w:bookmarkStart w:id="0" w:name="_Hlk208502145"/>
            <w:r>
              <w:rPr>
                <w:rFonts w:hint="eastAsia" w:ascii="仿宋" w:hAnsi="仿宋" w:eastAsia="仿宋"/>
                <w:bCs/>
                <w:spacing w:val="2"/>
                <w:sz w:val="24"/>
                <w:szCs w:val="24"/>
              </w:rPr>
              <w:t>（2）研发了复杂苛刻体系临界离底悬浮转速、临界悬浮高度测量新技术，发明了基于釜底压力脉动测量的固液和气液搅拌流态识别新方法，构建了基于神经网络的流态过渡转速预测模型，实现了复杂苛刻体系搅拌流态的精准测量和预测，为复杂苛刻体系搅拌单元操作的精准调控创造了条件。</w:t>
            </w:r>
          </w:p>
          <w:bookmarkEnd w:id="0"/>
          <w:p w14:paraId="7D1BE981">
            <w:pPr>
              <w:spacing w:after="0" w:line="360" w:lineRule="exact"/>
              <w:ind w:firstLine="244" w:firstLineChars="100"/>
              <w:rPr>
                <w:rFonts w:ascii="仿宋" w:hAnsi="仿宋" w:eastAsia="仿宋"/>
                <w:bCs/>
                <w:spacing w:val="2"/>
                <w:sz w:val="24"/>
                <w:szCs w:val="24"/>
              </w:rPr>
            </w:pPr>
            <w:r>
              <w:rPr>
                <w:rFonts w:hint="eastAsia" w:ascii="仿宋" w:hAnsi="仿宋" w:eastAsia="仿宋"/>
                <w:bCs/>
                <w:spacing w:val="2"/>
                <w:sz w:val="24"/>
                <w:szCs w:val="24"/>
              </w:rPr>
              <w:t>（3）阐明了复杂苛刻体系下同心双轴搅拌器的构效、物效、性效关系，明确了同心双轴搅拌器的适宜转动模式和工作区间，揭示了同心双轴搅拌器内外桨叶之间的协同强化机制，建立了离集指数、功率准数、努塞尔数等性能参数的预测模型，并发展了同心双轴内外桨协同调控技术与多目标优化方法。</w:t>
            </w:r>
          </w:p>
          <w:p w14:paraId="32DA0502">
            <w:pPr>
              <w:spacing w:after="0" w:line="360" w:lineRule="exact"/>
              <w:ind w:firstLine="244" w:firstLineChars="100"/>
              <w:rPr>
                <w:rFonts w:ascii="仿宋" w:hAnsi="仿宋" w:eastAsia="仿宋"/>
                <w:bCs/>
                <w:spacing w:val="2"/>
                <w:sz w:val="24"/>
                <w:szCs w:val="24"/>
              </w:rPr>
            </w:pPr>
            <w:r>
              <w:rPr>
                <w:rFonts w:hint="eastAsia" w:ascii="仿宋" w:hAnsi="仿宋" w:eastAsia="仿宋"/>
                <w:bCs/>
                <w:spacing w:val="2"/>
                <w:sz w:val="24"/>
                <w:szCs w:val="24"/>
              </w:rPr>
              <w:t>（4）发明了适于变物性介质搅拌的可调式双轴反应釜、无芯轴双桨组合式搅拌釜、外桨带探测取样或加料口的同心双轴搅拌器等一系列宽适应性搅拌装置，同心双轴搅拌粘度适用上限扩大到500Pa</w:t>
            </w:r>
            <w:r>
              <w:rPr>
                <w:rFonts w:ascii="仿宋" w:hAnsi="仿宋" w:eastAsia="仿宋"/>
                <w:bCs/>
                <w:spacing w:val="2"/>
                <w:sz w:val="24"/>
                <w:szCs w:val="24"/>
              </w:rPr>
              <w:t>·</w:t>
            </w:r>
            <w:r>
              <w:rPr>
                <w:rFonts w:hint="eastAsia" w:ascii="仿宋" w:hAnsi="仿宋" w:eastAsia="仿宋"/>
                <w:bCs/>
                <w:spacing w:val="2"/>
                <w:sz w:val="24"/>
                <w:szCs w:val="24"/>
              </w:rPr>
              <w:t>s，固含量适用上限扩大到70%wt，成本较国外同行下降30%~50%。</w:t>
            </w:r>
          </w:p>
          <w:p w14:paraId="2DDA4564">
            <w:pPr>
              <w:spacing w:after="0" w:line="240" w:lineRule="auto"/>
              <w:ind w:firstLine="488" w:firstLineChars="200"/>
              <w:rPr>
                <w:rFonts w:ascii="仿宋" w:hAnsi="仿宋" w:eastAsia="仿宋"/>
                <w:bCs/>
                <w:spacing w:val="2"/>
                <w:sz w:val="24"/>
                <w:szCs w:val="24"/>
              </w:rPr>
            </w:pPr>
            <w:r>
              <w:rPr>
                <w:rFonts w:hint="eastAsia" w:ascii="仿宋" w:hAnsi="仿宋" w:eastAsia="仿宋"/>
                <w:bCs/>
                <w:spacing w:val="2"/>
                <w:sz w:val="24"/>
                <w:szCs w:val="24"/>
              </w:rPr>
              <w:t>该成果</w:t>
            </w:r>
            <w:r>
              <w:rPr>
                <w:rFonts w:ascii="仿宋" w:hAnsi="仿宋" w:eastAsia="仿宋"/>
                <w:bCs/>
                <w:spacing w:val="2"/>
                <w:sz w:val="24"/>
                <w:szCs w:val="24"/>
              </w:rPr>
              <w:t>经中国石油和化工自动化应用协会组织鉴定，鉴定委员会专家认为该成果整体技术达到了国际先进水平，其中同心双轴内外桨协同调控技术处于国际领先水平。截止目前，</w:t>
            </w:r>
            <w:r>
              <w:rPr>
                <w:rFonts w:hint="eastAsia" w:ascii="仿宋" w:hAnsi="仿宋" w:eastAsia="仿宋"/>
                <w:bCs/>
                <w:spacing w:val="2"/>
                <w:sz w:val="24"/>
                <w:szCs w:val="24"/>
              </w:rPr>
              <w:t>相</w:t>
            </w:r>
            <w:r>
              <w:rPr>
                <w:rFonts w:ascii="仿宋" w:hAnsi="仿宋" w:eastAsia="仿宋"/>
                <w:bCs/>
                <w:spacing w:val="2"/>
                <w:sz w:val="24"/>
                <w:szCs w:val="24"/>
              </w:rPr>
              <w:t>已获得授权发明专利17件，出版专著1部，发表高水平学术论文39篇。同时，项目成果依托核心制造单位进行成果转化与产业化应用，服务于全国数百家流程工业企业，成功助力白炭黑、有机硅、特种树脂等多种核心产品生产过程，取得了明显的经济</w:t>
            </w:r>
            <w:r>
              <w:rPr>
                <w:rFonts w:hint="eastAsia" w:ascii="仿宋" w:hAnsi="仿宋" w:eastAsia="仿宋"/>
                <w:bCs/>
                <w:spacing w:val="2"/>
                <w:sz w:val="24"/>
                <w:szCs w:val="24"/>
              </w:rPr>
              <w:t>和</w:t>
            </w:r>
            <w:r>
              <w:rPr>
                <w:rFonts w:ascii="仿宋" w:hAnsi="仿宋" w:eastAsia="仿宋"/>
                <w:bCs/>
                <w:spacing w:val="2"/>
                <w:sz w:val="24"/>
                <w:szCs w:val="24"/>
              </w:rPr>
              <w:t>社会效益。</w:t>
            </w:r>
          </w:p>
          <w:p w14:paraId="0045119C">
            <w:pPr>
              <w:spacing w:after="0" w:line="240" w:lineRule="auto"/>
              <w:ind w:firstLine="488" w:firstLineChars="200"/>
              <w:rPr>
                <w:rStyle w:val="33"/>
                <w:b w:val="0"/>
              </w:rPr>
            </w:pPr>
            <w:r>
              <w:rPr>
                <w:rFonts w:ascii="仿宋" w:hAnsi="仿宋" w:eastAsia="仿宋"/>
                <w:bCs/>
                <w:spacing w:val="2"/>
                <w:sz w:val="24"/>
                <w:szCs w:val="24"/>
              </w:rPr>
              <w:t>经审查，该项目成果符合申报要求，同意提名该成果为2024年度省科学技术进步奖一等奖。</w:t>
            </w:r>
          </w:p>
        </w:tc>
      </w:tr>
    </w:tbl>
    <w:p w14:paraId="4CFE6D3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3D"/>
    <w:rsid w:val="000F545F"/>
    <w:rsid w:val="00274475"/>
    <w:rsid w:val="002F5855"/>
    <w:rsid w:val="005337B2"/>
    <w:rsid w:val="006533A2"/>
    <w:rsid w:val="0073394D"/>
    <w:rsid w:val="007800ED"/>
    <w:rsid w:val="007C09A4"/>
    <w:rsid w:val="00807813"/>
    <w:rsid w:val="008E2AFA"/>
    <w:rsid w:val="00B6355C"/>
    <w:rsid w:val="00B67782"/>
    <w:rsid w:val="00B96E3D"/>
    <w:rsid w:val="00BB66AE"/>
    <w:rsid w:val="00C720E6"/>
    <w:rsid w:val="00C81DE4"/>
    <w:rsid w:val="00E26218"/>
    <w:rsid w:val="50B0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0"/>
      <w:lang w:val="en-US" w:eastAsia="zh-CN" w:bidi="ar-SA"/>
      <w14:ligatures w14:val="none"/>
    </w:rPr>
  </w:style>
  <w:style w:type="paragraph" w:styleId="2">
    <w:name w:val="heading 1"/>
    <w:basedOn w:val="1"/>
    <w:next w:val="1"/>
    <w:link w:val="15"/>
    <w:qFormat/>
    <w:uiPriority w:val="9"/>
    <w:pPr>
      <w:keepNext/>
      <w:keepLines/>
      <w:spacing w:before="480" w:after="80"/>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6"/>
    <w:semiHidden/>
    <w:unhideWhenUsed/>
    <w:qFormat/>
    <w:uiPriority w:val="9"/>
    <w:pPr>
      <w:keepNext/>
      <w:keepLines/>
      <w:spacing w:before="160" w:after="80"/>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17"/>
    <w:semiHidden/>
    <w:unhideWhenUsed/>
    <w:qFormat/>
    <w:uiPriority w:val="9"/>
    <w:pPr>
      <w:keepNext/>
      <w:keepLines/>
      <w:spacing w:before="160" w:after="80"/>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18"/>
    <w:semiHidden/>
    <w:unhideWhenUsed/>
    <w:qFormat/>
    <w:uiPriority w:val="9"/>
    <w:pPr>
      <w:keepNext/>
      <w:keepLines/>
      <w:spacing w:before="80" w:after="40"/>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6">
    <w:name w:val="heading 5"/>
    <w:basedOn w:val="1"/>
    <w:next w:val="1"/>
    <w:link w:val="19"/>
    <w:semiHidden/>
    <w:unhideWhenUsed/>
    <w:qFormat/>
    <w:uiPriority w:val="9"/>
    <w:pPr>
      <w:keepNext/>
      <w:keepLines/>
      <w:spacing w:before="80" w:after="40"/>
      <w:jc w:val="left"/>
      <w:outlineLvl w:val="4"/>
    </w:pPr>
    <w:rPr>
      <w:rFonts w:asciiTheme="minorHAnsi" w:hAnsiTheme="minorHAnsi" w:eastAsiaTheme="minorEastAsia" w:cstheme="majorBidi"/>
      <w:color w:val="2F5597" w:themeColor="accent1" w:themeShade="BF"/>
      <w:sz w:val="24"/>
      <w:szCs w:val="24"/>
      <w14:ligatures w14:val="standardContextual"/>
    </w:rPr>
  </w:style>
  <w:style w:type="paragraph" w:styleId="7">
    <w:name w:val="heading 6"/>
    <w:basedOn w:val="1"/>
    <w:next w:val="1"/>
    <w:link w:val="20"/>
    <w:semiHidden/>
    <w:unhideWhenUsed/>
    <w:qFormat/>
    <w:uiPriority w:val="9"/>
    <w:pPr>
      <w:keepNext/>
      <w:keepLines/>
      <w:spacing w:before="40" w:after="0"/>
      <w:jc w:val="left"/>
      <w:outlineLvl w:val="5"/>
    </w:pPr>
    <w:rPr>
      <w:rFonts w:asciiTheme="minorHAnsi" w:hAnsiTheme="minorHAnsi" w:eastAsiaTheme="minorEastAsia" w:cstheme="majorBidi"/>
      <w:b/>
      <w:bCs/>
      <w:color w:val="2F5597" w:themeColor="accent1" w:themeShade="BF"/>
      <w:sz w:val="22"/>
      <w:szCs w:val="24"/>
      <w14:ligatures w14:val="standardContextual"/>
    </w:rPr>
  </w:style>
  <w:style w:type="paragraph" w:styleId="8">
    <w:name w:val="heading 7"/>
    <w:basedOn w:val="1"/>
    <w:next w:val="1"/>
    <w:link w:val="21"/>
    <w:semiHidden/>
    <w:unhideWhenUsed/>
    <w:qFormat/>
    <w:uiPriority w:val="9"/>
    <w:pPr>
      <w:keepNext/>
      <w:keepLines/>
      <w:spacing w:before="40" w:after="0"/>
      <w:jc w:val="left"/>
      <w:outlineLvl w:val="6"/>
    </w:pPr>
    <w:rPr>
      <w:rFonts w:asciiTheme="minorHAnsi" w:hAnsiTheme="minorHAnsi" w:eastAsiaTheme="minorEastAsia"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spacing w:after="0"/>
      <w:jc w:val="left"/>
      <w:outlineLvl w:val="7"/>
    </w:pPr>
    <w:rPr>
      <w:rFonts w:asciiTheme="minorHAnsi" w:hAnsiTheme="minorHAnsi" w:eastAsiaTheme="min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3"/>
    <w:semiHidden/>
    <w:unhideWhenUsed/>
    <w:qFormat/>
    <w:uiPriority w:val="9"/>
    <w:pPr>
      <w:keepNext/>
      <w:keepLines/>
      <w:spacing w:after="0"/>
      <w:jc w:val="left"/>
      <w:outlineLvl w:val="8"/>
    </w:pPr>
    <w:rPr>
      <w:rFonts w:asciiTheme="minorHAnsi" w:hAnsiTheme="minorHAnsi"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5">
    <w:name w:val="标题 1 字符"/>
    <w:basedOn w:val="14"/>
    <w:link w:val="2"/>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uiPriority w:val="9"/>
    <w:rPr>
      <w:rFonts w:cstheme="majorBidi"/>
      <w:color w:val="2F5597" w:themeColor="accent1" w:themeShade="BF"/>
      <w:sz w:val="28"/>
      <w:szCs w:val="28"/>
    </w:rPr>
  </w:style>
  <w:style w:type="character" w:customStyle="1" w:styleId="19">
    <w:name w:val="标题 5 字符"/>
    <w:basedOn w:val="14"/>
    <w:link w:val="6"/>
    <w:semiHidden/>
    <w:qFormat/>
    <w:uiPriority w:val="9"/>
    <w:rPr>
      <w:rFonts w:cstheme="majorBidi"/>
      <w:color w:val="2F5597" w:themeColor="accent1" w:themeShade="BF"/>
      <w:sz w:val="24"/>
    </w:rPr>
  </w:style>
  <w:style w:type="character" w:customStyle="1" w:styleId="20">
    <w:name w:val="标题 6 字符"/>
    <w:basedOn w:val="14"/>
    <w:link w:val="7"/>
    <w:semiHidden/>
    <w:uiPriority w:val="9"/>
    <w:rPr>
      <w:rFonts w:cstheme="majorBidi"/>
      <w:b/>
      <w:bCs/>
      <w:color w:val="2F5597"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jc w:val="left"/>
    </w:pPr>
    <w:rPr>
      <w:rFonts w:asciiTheme="minorHAnsi" w:hAnsiTheme="minorHAnsi" w:eastAsiaTheme="minorEastAsia" w:cstheme="minorBidi"/>
      <w:sz w:val="22"/>
      <w:szCs w:val="24"/>
      <w14:ligatures w14:val="standardContextual"/>
    </w:r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sz w:val="22"/>
      <w:szCs w:val="24"/>
      <w14:ligatures w14:val="standardContextual"/>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 w:type="character" w:customStyle="1" w:styleId="33">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2018</Words>
  <Characters>2992</Characters>
  <Lines>22</Lines>
  <Paragraphs>6</Paragraphs>
  <TotalTime>53</TotalTime>
  <ScaleCrop>false</ScaleCrop>
  <LinksUpToDate>false</LinksUpToDate>
  <CharactersWithSpaces>3178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2025-09-11T08:53:00Z</dcterms:created>
  <dc:creator>Baoqing LIU</dc:creator>
  <cp:lastModifiedBy>耷君</cp:lastModifiedBy>
  <dcterms:modified xsi:type="dcterms:W3CDTF">2025-09-12T02:32:44Z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eyJoZGlkIjoiYjlkMzgzMzQwY2M5YWZiMDU4NTY0ODRjOGFlYjhlNGUiLCJ1c2VySWQiOiIyMDE3MTUwNjIifQ==</vt:lpwstr>
  </property>
  <property fmtid="{D5CDD505-2E9C-101B-9397-08002B2CF9AE}" pid="3" name="KSOProductBuildVer">
    <vt:lpwstr>2052-12.1.0.22529</vt:lpwstr>
  </property>
  <property fmtid="{D5CDD505-2E9C-101B-9397-08002B2CF9AE}" pid="4" name="ICV">
    <vt:lpwstr>4238CD050A094DAD92283176A52558D0_12</vt:lpwstr>
  </property>
</Properties>
</file>