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F1E8">
      <w:pPr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bookmarkStart w:id="6" w:name="_GoBack"/>
      <w:bookmarkEnd w:id="6"/>
      <w:r>
        <w:rPr>
          <w:rStyle w:val="10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0"/>
          <w:rFonts w:eastAsia="FangSong_GB2312"/>
          <w:color w:val="auto"/>
          <w:sz w:val="32"/>
          <w:szCs w:val="32"/>
        </w:rPr>
        <w:t>（单位提名）</w:t>
      </w:r>
    </w:p>
    <w:p w14:paraId="31CF3B9B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提名奖项：自然科学奖</w:t>
      </w:r>
    </w:p>
    <w:tbl>
      <w:tblPr>
        <w:tblStyle w:val="7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7D0B3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762E797B">
            <w:pPr>
              <w:jc w:val="center"/>
              <w:rPr>
                <w:rStyle w:val="10"/>
                <w:rFonts w:ascii="宋体" w:hAnsi="宋体"/>
                <w:b w:val="0"/>
                <w:color w:val="auto"/>
              </w:rPr>
            </w:pPr>
            <w:r>
              <w:rPr>
                <w:rStyle w:val="10"/>
                <w:rFonts w:ascii="宋体" w:hAnsi="宋体"/>
                <w:color w:val="auto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FF74B28">
            <w:pPr>
              <w:jc w:val="center"/>
              <w:rPr>
                <w:rStyle w:val="10"/>
                <w:rFonts w:ascii="宋体" w:hAnsi="宋体"/>
                <w:b w:val="0"/>
                <w:color w:val="auto"/>
              </w:rPr>
            </w:pPr>
            <w:r>
              <w:rPr>
                <w:rStyle w:val="10"/>
                <w:rFonts w:hint="eastAsia" w:ascii="宋体" w:hAnsi="宋体"/>
                <w:color w:val="auto"/>
              </w:rPr>
              <w:t>时空地统计学关键新方法与应用</w:t>
            </w:r>
          </w:p>
        </w:tc>
      </w:tr>
      <w:tr w14:paraId="2E9D2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326BF122">
            <w:pPr>
              <w:jc w:val="center"/>
              <w:rPr>
                <w:rStyle w:val="10"/>
                <w:rFonts w:ascii="宋体" w:hAnsi="宋体"/>
                <w:b w:val="0"/>
                <w:color w:val="auto"/>
              </w:rPr>
            </w:pPr>
            <w:r>
              <w:rPr>
                <w:rStyle w:val="10"/>
                <w:rFonts w:ascii="宋体" w:hAnsi="宋体"/>
                <w:color w:val="auto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720E6DF4">
            <w:pPr>
              <w:jc w:val="center"/>
              <w:rPr>
                <w:rStyle w:val="10"/>
                <w:rFonts w:ascii="宋体" w:hAnsi="宋体"/>
                <w:b w:val="0"/>
                <w:color w:val="auto"/>
              </w:rPr>
            </w:pPr>
            <w:r>
              <w:rPr>
                <w:rStyle w:val="10"/>
                <w:rFonts w:hint="eastAsia" w:ascii="宋体" w:hAnsi="宋体"/>
                <w:color w:val="auto"/>
              </w:rPr>
              <w:t>一等</w:t>
            </w:r>
          </w:p>
        </w:tc>
      </w:tr>
      <w:tr w14:paraId="729D9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269" w:type="dxa"/>
            <w:vAlign w:val="center"/>
          </w:tcPr>
          <w:p w14:paraId="5E69747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提名书</w:t>
            </w:r>
          </w:p>
          <w:p w14:paraId="0EA6F0ED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5755DD5"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代表性论文专著目录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、主要知识产权和标准规范目录列于表后。</w:t>
            </w:r>
          </w:p>
        </w:tc>
      </w:tr>
      <w:tr w14:paraId="54998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265A082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2926C32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吴嘉平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排名1，教授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浙江大学</w:t>
            </w:r>
            <w:r>
              <w:rPr>
                <w:rFonts w:ascii="宋体" w:hAnsi="宋体"/>
                <w:bCs/>
                <w:sz w:val="24"/>
                <w:szCs w:val="24"/>
              </w:rPr>
              <w:t>；</w:t>
            </w:r>
          </w:p>
          <w:p w14:paraId="7EFF8731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何俊昱，排名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，副研究员，浙江大学；</w:t>
            </w:r>
          </w:p>
          <w:p w14:paraId="0D318AA9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George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Christakos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，排名</w:t>
            </w:r>
            <w:r>
              <w:rPr>
                <w:rFonts w:ascii="宋体" w:hAnsi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，教授，浙江大学；</w:t>
            </w:r>
          </w:p>
          <w:p w14:paraId="34B310D5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李丹，排名</w:t>
            </w:r>
            <w:r>
              <w:rPr>
                <w:rFonts w:ascii="宋体" w:hAnsi="宋体"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，中级，之江实验室</w:t>
            </w:r>
          </w:p>
        </w:tc>
      </w:tr>
      <w:tr w14:paraId="1FB89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FF919C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25FC941"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浙江大学</w:t>
            </w:r>
          </w:p>
        </w:tc>
      </w:tr>
      <w:tr w14:paraId="095A3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08BE5B29">
            <w:pPr>
              <w:jc w:val="center"/>
              <w:rPr>
                <w:rStyle w:val="10"/>
                <w:rFonts w:ascii="宋体" w:hAnsi="宋体"/>
                <w:b w:val="0"/>
                <w:color w:val="auto"/>
              </w:rPr>
            </w:pPr>
            <w:r>
              <w:rPr>
                <w:rStyle w:val="10"/>
                <w:rFonts w:ascii="宋体" w:hAnsi="宋体"/>
                <w:color w:val="auto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9BBEC05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浙江大学</w:t>
            </w:r>
          </w:p>
        </w:tc>
      </w:tr>
      <w:tr w14:paraId="4B279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641CFEAF">
            <w:pPr>
              <w:jc w:val="center"/>
              <w:rPr>
                <w:rStyle w:val="10"/>
                <w:rFonts w:ascii="宋体" w:hAnsi="宋体"/>
                <w:b w:val="0"/>
                <w:color w:val="auto"/>
              </w:rPr>
            </w:pPr>
            <w:r>
              <w:rPr>
                <w:rStyle w:val="10"/>
                <w:rFonts w:ascii="宋体" w:hAnsi="宋体"/>
                <w:color w:val="auto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32ED97E4">
            <w:pPr>
              <w:spacing w:line="360" w:lineRule="auto"/>
              <w:ind w:firstLine="480" w:firstLineChars="200"/>
              <w:rPr>
                <w:rFonts w:ascii="宋体" w:hAnsi="宋体"/>
                <w:snapToGrid w:val="0"/>
                <w:kern w:val="0"/>
                <w:sz w:val="24"/>
                <w:szCs w:val="24"/>
                <w:u w:color="800000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</w:rPr>
              <w:t>浙江省杰青项目、国家自然科学基金项目、自然资源部项目科技部项目、</w:t>
            </w:r>
            <w:bookmarkStart w:id="0" w:name="OLE_LINK1"/>
            <w:bookmarkStart w:id="1" w:name="OLE_LINK2"/>
            <w:r>
              <w:rPr>
                <w:rFonts w:hint="eastAsia" w:ascii="宋体" w:hAnsi="宋体"/>
                <w:sz w:val="24"/>
                <w:szCs w:val="24"/>
              </w:rPr>
              <w:t>自然资源部项目</w:t>
            </w:r>
            <w:bookmarkEnd w:id="0"/>
            <w:bookmarkEnd w:id="1"/>
            <w:r>
              <w:rPr>
                <w:rFonts w:hint="eastAsia" w:ascii="宋体" w:hAnsi="宋体"/>
                <w:sz w:val="24"/>
                <w:szCs w:val="24"/>
              </w:rPr>
              <w:t>等的支持下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，由吴嘉平教授组成的团队经过20余年的坚持不懈，完成了《时空地统计学关键新方法与应用》。</w:t>
            </w:r>
          </w:p>
          <w:p w14:paraId="5FE8DA45">
            <w:pPr>
              <w:spacing w:line="360" w:lineRule="auto"/>
              <w:ind w:firstLine="480" w:firstLineChars="200"/>
              <w:rPr>
                <w:rFonts w:ascii="宋体" w:hAnsi="宋体"/>
                <w:snapToGrid w:val="0"/>
                <w:kern w:val="0"/>
                <w:sz w:val="24"/>
                <w:szCs w:val="24"/>
                <w:u w:color="800000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该项目针对自然资源时空数据分析的瓶颈问题，创新构建了贝叶斯最大熵（BME）驱动的时空大数据分析体系，实现多源数据融合与精准预测；突破性地引入物理法则增强模型精准度，开发遥感软数据站点技术解决监测数据稀疏难题，提出新型协方差函数与时空投影降维方法，显著提高计算效率与精度；此外，创新建立随机站点指标体系与多变量互预测理论，深入揭示了环境因素与健康风险的复杂时空关联机制。</w:t>
            </w:r>
          </w:p>
          <w:p w14:paraId="030A7E1C"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  <w:u w:color="800000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研究广泛应用于自然资源环境管理、监测、评估，公共卫生风险预警，生态环境评价等，形成了多学科交叉特色。成果发表论文7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  <w:u w:color="800000"/>
              </w:rPr>
              <w:t>8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篇；出版专著2部，包括参与编写《数学地球科学百科全书》（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  <w:u w:color="800000"/>
              </w:rPr>
              <w:t>Encyclopedia of Mathematical Geosciences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）和主编《地球与环境数据的定量分析与建模》（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  <w:u w:color="800000"/>
              </w:rPr>
              <w:t>Quantitative Analysis and Modeling of Earth and Environmental Data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）教科书，被包括院士在内的国内外知名学者广泛引用，具备显著的科学价值、应用成效与国际影响力。</w:t>
            </w:r>
          </w:p>
          <w:p w14:paraId="47636507"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提名书和所提供的附件材料均属实。</w:t>
            </w:r>
            <w:r>
              <w:rPr>
                <w:rFonts w:hint="eastAsia" w:ascii="宋体" w:hAnsi="宋体"/>
                <w:sz w:val="24"/>
                <w:szCs w:val="24"/>
              </w:rPr>
              <w:t>根据浙江省自然科学奖的评奖条件及标准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color="800000"/>
              </w:rPr>
              <w:t>，我校推荐《时空地统计学关键新方法与应用》为浙江省自然科学奖一等奖。</w:t>
            </w:r>
          </w:p>
        </w:tc>
      </w:tr>
    </w:tbl>
    <w:p w14:paraId="48912027">
      <w:pPr>
        <w:rPr>
          <w:rFonts w:ascii="宋体" w:hAnsi="宋体"/>
          <w:sz w:val="24"/>
          <w:szCs w:val="24"/>
        </w:rPr>
      </w:pPr>
    </w:p>
    <w:p w14:paraId="2B450A31">
      <w:pPr>
        <w:rPr>
          <w:rFonts w:eastAsiaTheme="minorEastAsia"/>
          <w:bCs/>
          <w:sz w:val="24"/>
          <w:szCs w:val="24"/>
        </w:rPr>
      </w:pPr>
    </w:p>
    <w:p w14:paraId="370C5A6F">
      <w:pPr>
        <w:rPr>
          <w:rFonts w:eastAsia="FangSong_GB2312"/>
          <w:bCs/>
          <w:sz w:val="24"/>
          <w:szCs w:val="24"/>
        </w:rPr>
      </w:pPr>
      <w:r>
        <w:rPr>
          <w:rFonts w:eastAsia="FangSong_GB2312"/>
          <w:bCs/>
          <w:sz w:val="24"/>
          <w:szCs w:val="24"/>
        </w:rPr>
        <w:t>代表性论文专著目录</w:t>
      </w:r>
      <w:r>
        <w:rPr>
          <w:rFonts w:hint="eastAsia" w:eastAsia="FangSong_GB2312"/>
          <w:bCs/>
          <w:sz w:val="24"/>
          <w:szCs w:val="24"/>
        </w:rPr>
        <w:t>：</w:t>
      </w:r>
    </w:p>
    <w:p w14:paraId="6FF616A3">
      <w:pPr>
        <w:pStyle w:val="11"/>
      </w:pPr>
    </w:p>
    <w:p w14:paraId="58E458D8">
      <w:pPr>
        <w:pStyle w:val="11"/>
        <w:numPr>
          <w:ilvl w:val="0"/>
          <w:numId w:val="1"/>
        </w:numPr>
        <w:ind w:left="340"/>
        <w:rPr>
          <w:sz w:val="22"/>
        </w:rPr>
      </w:pPr>
      <w:r>
        <w:rPr>
          <w:sz w:val="22"/>
        </w:rPr>
        <w:t xml:space="preserve">Wu, J., He, J., Christakos, G., 2021. </w:t>
      </w:r>
      <w:bookmarkStart w:id="2" w:name="OLE_LINK12"/>
      <w:bookmarkStart w:id="3" w:name="OLE_LINK11"/>
      <w:r>
        <w:rPr>
          <w:sz w:val="22"/>
        </w:rPr>
        <w:t>Quantitative Analysis and Modeling of Earth and Environmental Data. Elsevier.</w:t>
      </w:r>
      <w:bookmarkEnd w:id="2"/>
      <w:bookmarkEnd w:id="3"/>
    </w:p>
    <w:p w14:paraId="070CDB46">
      <w:pPr>
        <w:pStyle w:val="11"/>
        <w:numPr>
          <w:ilvl w:val="0"/>
          <w:numId w:val="1"/>
        </w:numPr>
        <w:ind w:left="340"/>
        <w:rPr>
          <w:sz w:val="22"/>
        </w:rPr>
      </w:pPr>
      <w:r>
        <w:rPr>
          <w:sz w:val="22"/>
        </w:rPr>
        <w:t>He, J., Chen, Y., Wu, J., Stow, D.A., George, C., 2020. Space-time chlorophyll-a retrieval in optically complex waters that accounts for remote sensing and modeling uncertainties and improves remote estimation accuracy. Water Research 171, 115403. https://doi.org/10.1016/j.watres.2019.115403</w:t>
      </w:r>
    </w:p>
    <w:p w14:paraId="1344C8AD">
      <w:pPr>
        <w:pStyle w:val="11"/>
        <w:numPr>
          <w:ilvl w:val="0"/>
          <w:numId w:val="1"/>
        </w:numPr>
        <w:ind w:left="340"/>
        <w:rPr>
          <w:sz w:val="22"/>
        </w:rPr>
      </w:pPr>
      <w:r>
        <w:rPr>
          <w:sz w:val="22"/>
        </w:rPr>
        <w:t>He, J., Yang, Y., Christakos, G., Liu, Y., Yang, X., 2019. Assessment of soil heavy metal pollution using stochastic site indicators. Geoderma 337, 359–367. https://doi.org/10.1016/j.geoderma.2018.09.038</w:t>
      </w:r>
    </w:p>
    <w:p w14:paraId="50D349D2">
      <w:pPr>
        <w:pStyle w:val="11"/>
        <w:numPr>
          <w:ilvl w:val="0"/>
          <w:numId w:val="1"/>
        </w:numPr>
        <w:ind w:left="340"/>
        <w:rPr>
          <w:rFonts w:eastAsia="等线"/>
          <w:sz w:val="22"/>
        </w:rPr>
      </w:pPr>
      <w:r>
        <w:rPr>
          <w:rFonts w:eastAsia="等线"/>
          <w:sz w:val="22"/>
        </w:rPr>
        <w:t>Chen, G., Jin, R., Ye, Z., Li, Q., Gu, J., Luo, M., Luo, Y., Christakos, G., Morris, J., He, J., Li, D., Wang, H., Song, L., Wang, Q., Wu, J., 2022. Spatiotemporal Mapping of Salt Marshes in the Intertidal Zone of China during 1985–2019. Journal of Remote Sensing 2022. https://doi.org/10/gn7kqn</w:t>
      </w:r>
    </w:p>
    <w:p w14:paraId="54C3E73D">
      <w:pPr>
        <w:pStyle w:val="11"/>
        <w:numPr>
          <w:ilvl w:val="0"/>
          <w:numId w:val="1"/>
        </w:numPr>
        <w:ind w:left="340"/>
        <w:rPr>
          <w:rFonts w:eastAsia="等线"/>
          <w:sz w:val="22"/>
        </w:rPr>
      </w:pPr>
      <w:r>
        <w:rPr>
          <w:rFonts w:eastAsia="等线"/>
          <w:sz w:val="22"/>
        </w:rPr>
        <w:t>Li, D., Christakos, G., Ding, X., Wu, J., 2018. Adequacy of TRMM satellite rainfall data in driving the SWAT modeling of Tiaoxi catchment (Taihu lake basin, China). Journal of Hydrology 556, 1139–1152. https://doi.org/10.1016/j.jhydrol.2017.01.006</w:t>
      </w:r>
    </w:p>
    <w:p w14:paraId="7A8AE2DA">
      <w:pPr>
        <w:pStyle w:val="11"/>
        <w:numPr>
          <w:ilvl w:val="0"/>
          <w:numId w:val="1"/>
        </w:numPr>
        <w:ind w:left="340"/>
        <w:rPr>
          <w:rFonts w:eastAsia="等线"/>
          <w:sz w:val="22"/>
        </w:rPr>
      </w:pPr>
      <w:r>
        <w:rPr>
          <w:rFonts w:eastAsia="等线"/>
          <w:sz w:val="22"/>
        </w:rPr>
        <w:t>Lin, S., Jing, C., Coles, N.A., Chaplot, V., Moore, N.J., Wu, J., 2013. Evaluating DEM source and resolution uncertainties in the Soil and Water Assessment Tool. Stoch Environ Res Risk Assess 27, 209–221. https://doi.org/10.1007/s00477-012-0577-x</w:t>
      </w:r>
    </w:p>
    <w:p w14:paraId="3D2DC147">
      <w:pPr>
        <w:pStyle w:val="11"/>
        <w:numPr>
          <w:ilvl w:val="0"/>
          <w:numId w:val="1"/>
        </w:numPr>
        <w:ind w:left="340"/>
        <w:rPr>
          <w:rFonts w:eastAsia="等线"/>
          <w:sz w:val="22"/>
        </w:rPr>
      </w:pPr>
      <w:r>
        <w:rPr>
          <w:rFonts w:eastAsia="等线"/>
          <w:sz w:val="22"/>
        </w:rPr>
        <w:t>Zhang, Z., Su, S., Xiao, R., Jiang, D., Wu, J., 2013. Identifying determinants of urban growth from a multi-scale perspective: A case study of the urban agglomeration around Hangzhou Bay, China. Applied Geography 45, 193–202. https://doi.org/10/f5ppgq</w:t>
      </w:r>
    </w:p>
    <w:p w14:paraId="47465E3E">
      <w:pPr>
        <w:pStyle w:val="11"/>
        <w:numPr>
          <w:ilvl w:val="0"/>
          <w:numId w:val="1"/>
        </w:numPr>
        <w:ind w:left="340"/>
        <w:rPr>
          <w:sz w:val="22"/>
        </w:rPr>
      </w:pPr>
      <w:r>
        <w:rPr>
          <w:sz w:val="22"/>
        </w:rPr>
        <w:t>Zheng, Y., Jin, R., Zhang, X., Wang, Q., Wu, J., 2019. The considerable environmental benefits of seaweed aquaculture in China. Stoch Environ Res Risk Assess 33, 1203–1221. https://doi.org/10.1007/s00477-019-01685-z</w:t>
      </w:r>
    </w:p>
    <w:p w14:paraId="4806B93D">
      <w:pPr>
        <w:pStyle w:val="11"/>
        <w:rPr>
          <w:sz w:val="22"/>
          <w:szCs w:val="22"/>
        </w:rPr>
      </w:pPr>
    </w:p>
    <w:p w14:paraId="63744ADF">
      <w:pPr>
        <w:rPr>
          <w:sz w:val="22"/>
          <w:szCs w:val="22"/>
        </w:rPr>
      </w:pPr>
      <w:r>
        <w:rPr>
          <w:rFonts w:eastAsia="FangSong_GB2312"/>
          <w:bCs/>
          <w:sz w:val="24"/>
          <w:szCs w:val="24"/>
        </w:rPr>
        <w:t>主要知识产权和标准规范目录</w:t>
      </w:r>
      <w:r>
        <w:rPr>
          <w:rFonts w:hint="eastAsia" w:eastAsia="FangSong_GB2312"/>
          <w:bCs/>
          <w:sz w:val="24"/>
          <w:szCs w:val="24"/>
        </w:rPr>
        <w:t>：</w:t>
      </w:r>
    </w:p>
    <w:p w14:paraId="64B84B59">
      <w:pPr>
        <w:pStyle w:val="17"/>
        <w:widowControl/>
        <w:numPr>
          <w:ilvl w:val="0"/>
          <w:numId w:val="1"/>
        </w:numPr>
        <w:ind w:left="340" w:firstLineChars="0"/>
        <w:contextualSpacing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何俊昱，吴嘉平，George Christakos，许小鹏. 2025. 融合多源数据和不确定信息的土壤或沉积物属性制图方法</w:t>
      </w:r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</w:t>
      </w:r>
      <w:r>
        <w:rPr>
          <w:rFonts w:hint="eastAsia" w:ascii="Times New Roman" w:hAnsi="Times New Roman" w:eastAsia="宋体"/>
          <w:sz w:val="22"/>
        </w:rPr>
        <w:t>发明专利：</w:t>
      </w:r>
      <w:r>
        <w:rPr>
          <w:rFonts w:ascii="Times New Roman" w:hAnsi="Times New Roman" w:eastAsia="宋体"/>
          <w:sz w:val="22"/>
        </w:rPr>
        <w:t>ZL202411537196.8（2025.1.14已授权）</w:t>
      </w:r>
    </w:p>
    <w:p w14:paraId="0D2F814F">
      <w:pPr>
        <w:pStyle w:val="17"/>
        <w:widowControl/>
        <w:numPr>
          <w:ilvl w:val="0"/>
          <w:numId w:val="1"/>
        </w:numPr>
        <w:ind w:left="340" w:firstLineChars="0"/>
        <w:contextualSpacing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何俊昱、高泽坤、姜雨彤、George Christakos. 2025. 基于移动时空窗格贝叶斯最大熵的自然属性时空预测软件</w:t>
      </w:r>
      <w:r>
        <w:rPr>
          <w:rFonts w:hint="eastAsia" w:ascii="Times New Roman" w:hAnsi="Times New Roman" w:eastAsia="宋体"/>
          <w:sz w:val="22"/>
        </w:rPr>
        <w:t>V</w:t>
      </w:r>
      <w:r>
        <w:rPr>
          <w:rFonts w:ascii="Times New Roman" w:hAnsi="Times New Roman" w:eastAsia="宋体"/>
          <w:sz w:val="22"/>
        </w:rPr>
        <w:t xml:space="preserve">1.0. </w:t>
      </w:r>
      <w:r>
        <w:rPr>
          <w:rFonts w:hint="eastAsia" w:ascii="Times New Roman" w:hAnsi="Times New Roman" w:eastAsia="宋体"/>
          <w:sz w:val="22"/>
        </w:rPr>
        <w:t>登记号：2</w:t>
      </w:r>
      <w:r>
        <w:rPr>
          <w:rFonts w:ascii="Times New Roman" w:hAnsi="Times New Roman" w:eastAsia="宋体"/>
          <w:sz w:val="22"/>
        </w:rPr>
        <w:t>025</w:t>
      </w:r>
      <w:r>
        <w:rPr>
          <w:rFonts w:hint="eastAsia" w:ascii="Times New Roman" w:hAnsi="Times New Roman" w:eastAsia="宋体"/>
          <w:sz w:val="22"/>
        </w:rPr>
        <w:t>SR</w:t>
      </w:r>
      <w:r>
        <w:rPr>
          <w:rFonts w:ascii="Times New Roman" w:hAnsi="Times New Roman" w:eastAsia="宋体"/>
          <w:sz w:val="22"/>
        </w:rPr>
        <w:t>0121081（2025.1.17已授权）</w:t>
      </w:r>
    </w:p>
    <w:p w14:paraId="72805D5B">
      <w:pPr>
        <w:pStyle w:val="17"/>
        <w:widowControl/>
        <w:numPr>
          <w:ilvl w:val="0"/>
          <w:numId w:val="1"/>
        </w:numPr>
        <w:ind w:left="340" w:firstLineChars="0"/>
        <w:contextualSpacing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郑玉晗，金润杰，吴嘉平</w:t>
      </w:r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一种综合遥感影像和延绳信息的海带养殖面积监测方法</w:t>
      </w:r>
      <w:bookmarkStart w:id="4" w:name="OLE_LINK10"/>
      <w:bookmarkStart w:id="5" w:name="OLE_LINK9"/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发明专利</w:t>
      </w:r>
      <w:bookmarkEnd w:id="4"/>
      <w:bookmarkEnd w:id="5"/>
      <w:r>
        <w:rPr>
          <w:rFonts w:hint="eastAsia" w:ascii="Times New Roman" w:hAnsi="Times New Roman" w:eastAsia="宋体"/>
          <w:sz w:val="22"/>
        </w:rPr>
        <w:t>：</w:t>
      </w:r>
      <w:r>
        <w:rPr>
          <w:rFonts w:ascii="Times New Roman" w:hAnsi="Times New Roman" w:eastAsia="宋体"/>
          <w:sz w:val="22"/>
        </w:rPr>
        <w:t>ZL201710660021.X（</w:t>
      </w:r>
      <w:r>
        <w:rPr>
          <w:rFonts w:hint="eastAsia" w:ascii="Times New Roman" w:hAnsi="Times New Roman" w:eastAsia="宋体"/>
          <w:sz w:val="22"/>
        </w:rPr>
        <w:t>2</w:t>
      </w:r>
      <w:r>
        <w:rPr>
          <w:rFonts w:ascii="Times New Roman" w:hAnsi="Times New Roman" w:eastAsia="宋体"/>
          <w:sz w:val="22"/>
        </w:rPr>
        <w:t>020.3.06</w:t>
      </w:r>
      <w:r>
        <w:rPr>
          <w:rFonts w:hint="eastAsia" w:ascii="Times New Roman" w:hAnsi="Times New Roman" w:eastAsia="宋体"/>
          <w:sz w:val="22"/>
        </w:rPr>
        <w:t>已授权</w:t>
      </w:r>
      <w:r>
        <w:rPr>
          <w:rFonts w:ascii="Times New Roman" w:hAnsi="Times New Roman" w:eastAsia="宋体"/>
          <w:sz w:val="22"/>
        </w:rPr>
        <w:t>）</w:t>
      </w:r>
    </w:p>
    <w:p w14:paraId="418A6BF6">
      <w:pPr>
        <w:pStyle w:val="17"/>
        <w:widowControl/>
        <w:numPr>
          <w:ilvl w:val="0"/>
          <w:numId w:val="1"/>
        </w:numPr>
        <w:ind w:left="340" w:firstLineChars="0"/>
        <w:contextualSpacing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吴嘉平，江振蓝，苏世亮</w:t>
      </w:r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土壤侵蚀植被覆盖-管理因子的遥感估算方法</w:t>
      </w:r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发明专利</w:t>
      </w:r>
      <w:r>
        <w:rPr>
          <w:rFonts w:hint="eastAsia" w:ascii="Times New Roman" w:hAnsi="Times New Roman" w:eastAsia="宋体"/>
          <w:sz w:val="22"/>
        </w:rPr>
        <w:t>：</w:t>
      </w:r>
      <w:r>
        <w:rPr>
          <w:rFonts w:ascii="Times New Roman" w:hAnsi="Times New Roman" w:eastAsia="宋体"/>
          <w:sz w:val="22"/>
        </w:rPr>
        <w:t>ZL2012100121011（</w:t>
      </w:r>
      <w:r>
        <w:rPr>
          <w:rFonts w:hint="eastAsia" w:ascii="Times New Roman" w:hAnsi="Times New Roman" w:eastAsia="宋体"/>
          <w:sz w:val="22"/>
        </w:rPr>
        <w:t>2</w:t>
      </w:r>
      <w:r>
        <w:rPr>
          <w:rFonts w:ascii="Times New Roman" w:hAnsi="Times New Roman" w:eastAsia="宋体"/>
          <w:sz w:val="22"/>
        </w:rPr>
        <w:t>015.4.01</w:t>
      </w:r>
      <w:r>
        <w:rPr>
          <w:rFonts w:hint="eastAsia" w:ascii="Times New Roman" w:hAnsi="Times New Roman" w:eastAsia="宋体"/>
          <w:sz w:val="22"/>
        </w:rPr>
        <w:t>已授权</w:t>
      </w:r>
      <w:r>
        <w:rPr>
          <w:rFonts w:ascii="Times New Roman" w:hAnsi="Times New Roman" w:eastAsia="宋体"/>
          <w:sz w:val="22"/>
        </w:rPr>
        <w:t>）</w:t>
      </w:r>
    </w:p>
    <w:p w14:paraId="765C989A">
      <w:pPr>
        <w:pStyle w:val="17"/>
        <w:widowControl/>
        <w:numPr>
          <w:ilvl w:val="0"/>
          <w:numId w:val="1"/>
        </w:numPr>
        <w:ind w:left="340" w:firstLineChars="0"/>
        <w:contextualSpacing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吴嘉平，江振蓝，苏世亮</w:t>
      </w:r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基于修正通用水土流失方程的水土流失遥感动态监测方法</w:t>
      </w:r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发明专利</w:t>
      </w:r>
      <w:r>
        <w:rPr>
          <w:rFonts w:hint="eastAsia" w:ascii="Times New Roman" w:hAnsi="Times New Roman" w:eastAsia="宋体"/>
          <w:sz w:val="22"/>
        </w:rPr>
        <w:t>：</w:t>
      </w:r>
      <w:r>
        <w:rPr>
          <w:rFonts w:ascii="Times New Roman" w:hAnsi="Times New Roman" w:eastAsia="宋体"/>
          <w:sz w:val="22"/>
        </w:rPr>
        <w:t>201210018803.0（</w:t>
      </w:r>
      <w:r>
        <w:rPr>
          <w:rFonts w:hint="eastAsia" w:ascii="Times New Roman" w:hAnsi="Times New Roman" w:eastAsia="宋体"/>
          <w:sz w:val="22"/>
        </w:rPr>
        <w:t>2</w:t>
      </w:r>
      <w:r>
        <w:rPr>
          <w:rFonts w:ascii="Times New Roman" w:hAnsi="Times New Roman" w:eastAsia="宋体"/>
          <w:sz w:val="22"/>
        </w:rPr>
        <w:t>016.5.25</w:t>
      </w:r>
      <w:r>
        <w:rPr>
          <w:rFonts w:hint="eastAsia" w:ascii="Times New Roman" w:hAnsi="Times New Roman" w:eastAsia="宋体"/>
          <w:sz w:val="22"/>
        </w:rPr>
        <w:t>已授权</w:t>
      </w:r>
      <w:r>
        <w:rPr>
          <w:rFonts w:ascii="Times New Roman" w:hAnsi="Times New Roman" w:eastAsia="宋体"/>
          <w:sz w:val="22"/>
        </w:rPr>
        <w:t>）</w:t>
      </w:r>
    </w:p>
    <w:p w14:paraId="4FEB63E9">
      <w:pPr>
        <w:rPr>
          <w:sz w:val="22"/>
          <w:szCs w:val="22"/>
        </w:rPr>
      </w:pPr>
    </w:p>
    <w:p w14:paraId="75ECA790">
      <w:pPr>
        <w:rPr>
          <w:sz w:val="22"/>
          <w:szCs w:val="22"/>
        </w:rPr>
      </w:pPr>
    </w:p>
    <w:p w14:paraId="7EAE891D">
      <w:pPr>
        <w:rPr>
          <w:sz w:val="22"/>
          <w:szCs w:val="22"/>
        </w:rPr>
      </w:pPr>
    </w:p>
    <w:p w14:paraId="09BAEFC2">
      <w:pPr>
        <w:rPr>
          <w:sz w:val="22"/>
          <w:szCs w:val="22"/>
        </w:rPr>
      </w:pPr>
    </w:p>
    <w:p w14:paraId="22C94658">
      <w:pPr>
        <w:rPr>
          <w:sz w:val="22"/>
          <w:szCs w:val="22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9" w:usb3="00000000" w:csb0="0004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23F0D"/>
    <w:multiLevelType w:val="multilevel"/>
    <w:tmpl w:val="4DC23F0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6"/>
    <w:rsid w:val="00012F9C"/>
    <w:rsid w:val="000220C7"/>
    <w:rsid w:val="000352F2"/>
    <w:rsid w:val="000477B0"/>
    <w:rsid w:val="00074B3A"/>
    <w:rsid w:val="00095CCE"/>
    <w:rsid w:val="00154474"/>
    <w:rsid w:val="00185D5D"/>
    <w:rsid w:val="001E20FD"/>
    <w:rsid w:val="001E561C"/>
    <w:rsid w:val="001F4ADA"/>
    <w:rsid w:val="00213AE6"/>
    <w:rsid w:val="00214B65"/>
    <w:rsid w:val="00230490"/>
    <w:rsid w:val="00245338"/>
    <w:rsid w:val="00266DBF"/>
    <w:rsid w:val="002A4E4C"/>
    <w:rsid w:val="002F1AC9"/>
    <w:rsid w:val="00326EA9"/>
    <w:rsid w:val="00334936"/>
    <w:rsid w:val="00336204"/>
    <w:rsid w:val="0035003E"/>
    <w:rsid w:val="003754B1"/>
    <w:rsid w:val="00381DC3"/>
    <w:rsid w:val="00396B58"/>
    <w:rsid w:val="003A3B5A"/>
    <w:rsid w:val="003B3CAF"/>
    <w:rsid w:val="003D3CA8"/>
    <w:rsid w:val="003D5C62"/>
    <w:rsid w:val="003F1876"/>
    <w:rsid w:val="004533EB"/>
    <w:rsid w:val="004924D6"/>
    <w:rsid w:val="00495528"/>
    <w:rsid w:val="004B1FBE"/>
    <w:rsid w:val="00506F35"/>
    <w:rsid w:val="00561D05"/>
    <w:rsid w:val="005828EB"/>
    <w:rsid w:val="005876CA"/>
    <w:rsid w:val="00592ADB"/>
    <w:rsid w:val="005947E5"/>
    <w:rsid w:val="005F3D5D"/>
    <w:rsid w:val="005F7731"/>
    <w:rsid w:val="00604EC9"/>
    <w:rsid w:val="006161A5"/>
    <w:rsid w:val="006251A7"/>
    <w:rsid w:val="006566B3"/>
    <w:rsid w:val="00670ED7"/>
    <w:rsid w:val="006A1BF2"/>
    <w:rsid w:val="006E09D3"/>
    <w:rsid w:val="006F79F6"/>
    <w:rsid w:val="007076C8"/>
    <w:rsid w:val="00773C3B"/>
    <w:rsid w:val="0077471F"/>
    <w:rsid w:val="007B2ED7"/>
    <w:rsid w:val="00807984"/>
    <w:rsid w:val="008245DB"/>
    <w:rsid w:val="00867508"/>
    <w:rsid w:val="00874263"/>
    <w:rsid w:val="008B36E0"/>
    <w:rsid w:val="00932C23"/>
    <w:rsid w:val="00934126"/>
    <w:rsid w:val="0094594C"/>
    <w:rsid w:val="009B5A0E"/>
    <w:rsid w:val="00A173C6"/>
    <w:rsid w:val="00A60189"/>
    <w:rsid w:val="00A70706"/>
    <w:rsid w:val="00B060CE"/>
    <w:rsid w:val="00B15602"/>
    <w:rsid w:val="00B34D6C"/>
    <w:rsid w:val="00B822D7"/>
    <w:rsid w:val="00C01897"/>
    <w:rsid w:val="00C110A2"/>
    <w:rsid w:val="00C15C85"/>
    <w:rsid w:val="00C3372E"/>
    <w:rsid w:val="00CB3477"/>
    <w:rsid w:val="00CB5CBD"/>
    <w:rsid w:val="00D10F81"/>
    <w:rsid w:val="00D22B21"/>
    <w:rsid w:val="00DC4C6B"/>
    <w:rsid w:val="00DD5C2C"/>
    <w:rsid w:val="00E615EA"/>
    <w:rsid w:val="00EB38E4"/>
    <w:rsid w:val="00EE776D"/>
    <w:rsid w:val="00EF13C7"/>
    <w:rsid w:val="00EF59F7"/>
    <w:rsid w:val="00FB7C70"/>
    <w:rsid w:val="00FD0B6C"/>
    <w:rsid w:val="729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rPr>
      <w:sz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paragraph" w:customStyle="1" w:styleId="11">
    <w:name w:val="Bibliography"/>
    <w:basedOn w:val="1"/>
    <w:next w:val="1"/>
    <w:unhideWhenUsed/>
    <w:uiPriority w:val="37"/>
    <w:pPr>
      <w:ind w:left="720" w:hanging="720"/>
    </w:pPr>
  </w:style>
  <w:style w:type="character" w:customStyle="1" w:styleId="12">
    <w:name w:val="Comment Text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0"/>
      <w:szCs w:val="20"/>
    </w:rPr>
  </w:style>
  <w:style w:type="character" w:customStyle="1" w:styleId="13">
    <w:name w:val="Balloon Text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Header Char"/>
    <w:basedOn w:val="8"/>
    <w:link w:val="5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5">
    <w:name w:val="Footer Char"/>
    <w:basedOn w:val="8"/>
    <w:link w:val="4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6">
    <w:name w:val="Comment Subject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0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2820</Characters>
  <Lines>22</Lines>
  <Paragraphs>6</Paragraphs>
  <TotalTime>0</TotalTime>
  <ScaleCrop>false</ScaleCrop>
  <LinksUpToDate>false</LinksUpToDate>
  <CharactersWithSpaces>3097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2025-09-11T06:28:00Z</dcterms:created>
  <dc:creator>Apollo</dc:creator>
  <cp:lastModifiedBy>葛格</cp:lastModifiedBy>
  <cp:lastPrinted>2022-02-21T08:00:00Z</cp:lastPrinted>
  <dcterms:modified xsi:type="dcterms:W3CDTF">2025-09-11T08:43:01Z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zotero-version="5.0.96.4"&gt;&lt;session id="73CgKAF8"/&gt;&lt;style id="http://www.zotero.org/styles/elsevier-harvard"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KSOProductBuildVer">
    <vt:lpwstr>2052-12.1.0.19770</vt:lpwstr>
  </property>
  <property fmtid="{D5CDD505-2E9C-101B-9397-08002B2CF9AE}" pid="5" name="ICV">
    <vt:lpwstr>1BDA18FBCF1945039B053B72D0AF3E7C_13</vt:lpwstr>
  </property>
</Properties>
</file>