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5B37ECE">
      <w:pPr>
        <w:widowControl/>
        <w:jc w:val="center"/>
        <w:rPr>
          <w:rStyle w:val="36"/>
          <w:rFonts w:eastAsia="方正小标宋简体"/>
          <w:bCs w:val="0"/>
          <w:color w:val="auto"/>
          <w:sz w:val="36"/>
          <w:szCs w:val="36"/>
        </w:rPr>
      </w:pPr>
      <w:r>
        <w:rPr>
          <w:rStyle w:val="36"/>
          <w:rFonts w:eastAsia="方正小标宋简体"/>
          <w:b w:val="0"/>
          <w:color w:val="auto"/>
          <w:sz w:val="36"/>
          <w:szCs w:val="36"/>
        </w:rPr>
        <w:t>浙江省科学技术奖公示信息表</w:t>
      </w:r>
      <w:r>
        <w:rPr>
          <w:rStyle w:val="36"/>
          <w:rFonts w:eastAsia="仿宋_GB2312"/>
          <w:b w:val="0"/>
          <w:color w:val="auto"/>
          <w:sz w:val="32"/>
          <w:szCs w:val="32"/>
        </w:rPr>
        <w:t>（单位提名）</w:t>
      </w:r>
    </w:p>
    <w:p w14:paraId="7421B6F2">
      <w:pPr>
        <w:spacing w:line="440" w:lineRule="exact"/>
        <w:rPr>
          <w:rFonts w:eastAsia="仿宋_GB2312"/>
          <w:sz w:val="28"/>
          <w:szCs w:val="24"/>
        </w:rPr>
      </w:pPr>
      <w:r>
        <w:rPr>
          <w:rFonts w:eastAsia="仿宋_GB2312"/>
          <w:sz w:val="28"/>
          <w:szCs w:val="24"/>
        </w:rPr>
        <w:t>提名奖项：科学技术进步奖</w:t>
      </w:r>
    </w:p>
    <w:tbl>
      <w:tblPr>
        <w:tblStyle w:val="16"/>
        <w:tblW w:w="8506" w:type="dxa"/>
        <w:tblInd w:w="-3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83"/>
        <w:gridCol w:w="7023"/>
      </w:tblGrid>
      <w:tr w14:paraId="097B281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7" w:hRule="atLeast"/>
        </w:trPr>
        <w:tc>
          <w:tcPr>
            <w:tcW w:w="1483" w:type="dxa"/>
            <w:vAlign w:val="center"/>
          </w:tcPr>
          <w:p w14:paraId="41E2AA89">
            <w:pPr>
              <w:jc w:val="center"/>
              <w:rPr>
                <w:rFonts w:ascii="仿宋" w:hAnsi="仿宋" w:eastAsia="仿宋"/>
                <w:sz w:val="24"/>
              </w:rPr>
            </w:pPr>
            <w:r>
              <w:rPr>
                <w:rFonts w:ascii="仿宋" w:hAnsi="仿宋" w:eastAsia="仿宋"/>
                <w:sz w:val="24"/>
              </w:rPr>
              <w:t>成果名称</w:t>
            </w:r>
          </w:p>
        </w:tc>
        <w:tc>
          <w:tcPr>
            <w:tcW w:w="7023" w:type="dxa"/>
            <w:vAlign w:val="center"/>
          </w:tcPr>
          <w:p w14:paraId="315B195E">
            <w:pPr>
              <w:jc w:val="center"/>
              <w:rPr>
                <w:rFonts w:ascii="仿宋" w:hAnsi="仿宋" w:eastAsia="仿宋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/>
                <w:bCs/>
                <w:sz w:val="24"/>
                <w:szCs w:val="24"/>
              </w:rPr>
              <w:t>HPV 感染免疫机制研究及 HPV E7 蛋白特异性抗体的制备和应用</w:t>
            </w:r>
          </w:p>
        </w:tc>
      </w:tr>
      <w:tr w14:paraId="361354D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</w:trPr>
        <w:tc>
          <w:tcPr>
            <w:tcW w:w="1483" w:type="dxa"/>
            <w:vAlign w:val="center"/>
          </w:tcPr>
          <w:p w14:paraId="2AA734BB">
            <w:pPr>
              <w:jc w:val="center"/>
              <w:rPr>
                <w:rFonts w:ascii="仿宋" w:hAnsi="仿宋" w:eastAsia="仿宋"/>
                <w:sz w:val="24"/>
              </w:rPr>
            </w:pPr>
            <w:r>
              <w:rPr>
                <w:rFonts w:ascii="仿宋" w:hAnsi="仿宋" w:eastAsia="仿宋"/>
                <w:sz w:val="24"/>
              </w:rPr>
              <w:t>提名等级</w:t>
            </w:r>
          </w:p>
        </w:tc>
        <w:tc>
          <w:tcPr>
            <w:tcW w:w="7023" w:type="dxa"/>
            <w:vAlign w:val="center"/>
          </w:tcPr>
          <w:p w14:paraId="3AF873AF">
            <w:pPr>
              <w:jc w:val="center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  <w:szCs w:val="24"/>
                <w:lang w:val="en-US" w:eastAsia="zh-CN"/>
              </w:rPr>
              <w:t>二</w:t>
            </w:r>
            <w:bookmarkStart w:id="0" w:name="_GoBack"/>
            <w:bookmarkEnd w:id="0"/>
            <w:r>
              <w:rPr>
                <w:rFonts w:hint="eastAsia" w:ascii="仿宋" w:hAnsi="仿宋" w:eastAsia="仿宋"/>
                <w:bCs/>
                <w:sz w:val="24"/>
                <w:szCs w:val="24"/>
              </w:rPr>
              <w:t>等奖</w:t>
            </w:r>
          </w:p>
        </w:tc>
      </w:tr>
      <w:tr w14:paraId="423FB18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38" w:hRule="atLeast"/>
        </w:trPr>
        <w:tc>
          <w:tcPr>
            <w:tcW w:w="1483" w:type="dxa"/>
            <w:vAlign w:val="center"/>
          </w:tcPr>
          <w:p w14:paraId="1935DF7B">
            <w:pPr>
              <w:spacing w:line="440" w:lineRule="exact"/>
              <w:jc w:val="center"/>
              <w:rPr>
                <w:rFonts w:ascii="仿宋" w:hAnsi="仿宋" w:eastAsia="仿宋"/>
                <w:bCs/>
                <w:sz w:val="24"/>
                <w:szCs w:val="24"/>
              </w:rPr>
            </w:pPr>
            <w:r>
              <w:rPr>
                <w:rFonts w:ascii="仿宋" w:hAnsi="仿宋" w:eastAsia="仿宋"/>
                <w:bCs/>
                <w:sz w:val="24"/>
                <w:szCs w:val="24"/>
              </w:rPr>
              <w:t>提名书</w:t>
            </w:r>
          </w:p>
          <w:p w14:paraId="06A49AF5">
            <w:pPr>
              <w:spacing w:line="440" w:lineRule="exact"/>
              <w:jc w:val="center"/>
              <w:rPr>
                <w:rFonts w:ascii="仿宋" w:hAnsi="仿宋" w:eastAsia="仿宋"/>
                <w:bCs/>
                <w:sz w:val="24"/>
                <w:szCs w:val="24"/>
              </w:rPr>
            </w:pPr>
            <w:r>
              <w:rPr>
                <w:rFonts w:ascii="仿宋" w:hAnsi="仿宋" w:eastAsia="仿宋"/>
                <w:bCs/>
                <w:sz w:val="24"/>
                <w:szCs w:val="24"/>
              </w:rPr>
              <w:t>相关内容</w:t>
            </w:r>
          </w:p>
        </w:tc>
        <w:tc>
          <w:tcPr>
            <w:tcW w:w="7023" w:type="dxa"/>
            <w:vAlign w:val="center"/>
          </w:tcPr>
          <w:p w14:paraId="51AA54F6">
            <w:pPr>
              <w:spacing w:line="440" w:lineRule="exact"/>
              <w:jc w:val="left"/>
              <w:rPr>
                <w:rFonts w:ascii="仿宋" w:hAnsi="仿宋" w:eastAsia="仿宋"/>
                <w:bCs/>
                <w:sz w:val="24"/>
                <w:szCs w:val="24"/>
              </w:rPr>
            </w:pPr>
            <w:r>
              <w:rPr>
                <w:rFonts w:ascii="仿宋" w:hAnsi="仿宋" w:eastAsia="仿宋"/>
                <w:bCs/>
                <w:sz w:val="24"/>
                <w:szCs w:val="24"/>
              </w:rPr>
              <w:t>提名书的主要知识产权和标准规范目录、代表性论文专著目录</w:t>
            </w:r>
            <w:r>
              <w:rPr>
                <w:rFonts w:hint="eastAsia" w:ascii="仿宋" w:hAnsi="仿宋" w:eastAsia="仿宋"/>
                <w:bCs/>
                <w:sz w:val="24"/>
                <w:szCs w:val="24"/>
              </w:rPr>
              <w:t>在后文另附表格。</w:t>
            </w:r>
          </w:p>
        </w:tc>
      </w:tr>
      <w:tr w14:paraId="3E5A240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44" w:hRule="atLeast"/>
        </w:trPr>
        <w:tc>
          <w:tcPr>
            <w:tcW w:w="1483" w:type="dxa"/>
            <w:tcBorders>
              <w:right w:val="single" w:color="auto" w:sz="4" w:space="0"/>
            </w:tcBorders>
            <w:vAlign w:val="center"/>
          </w:tcPr>
          <w:p w14:paraId="1CCA781C">
            <w:pPr>
              <w:spacing w:line="440" w:lineRule="exact"/>
              <w:jc w:val="center"/>
              <w:rPr>
                <w:rFonts w:ascii="仿宋" w:hAnsi="仿宋" w:eastAsia="仿宋"/>
                <w:bCs/>
                <w:sz w:val="24"/>
                <w:szCs w:val="24"/>
              </w:rPr>
            </w:pPr>
            <w:r>
              <w:rPr>
                <w:rFonts w:ascii="仿宋" w:hAnsi="仿宋" w:eastAsia="仿宋"/>
                <w:bCs/>
                <w:sz w:val="24"/>
                <w:szCs w:val="24"/>
              </w:rPr>
              <w:t>主要完成人</w:t>
            </w:r>
          </w:p>
        </w:tc>
        <w:tc>
          <w:tcPr>
            <w:tcW w:w="7023" w:type="dxa"/>
            <w:tcBorders>
              <w:left w:val="single" w:color="auto" w:sz="4" w:space="0"/>
            </w:tcBorders>
            <w:vAlign w:val="center"/>
          </w:tcPr>
          <w:p w14:paraId="2989BDF4">
            <w:pPr>
              <w:spacing w:line="440" w:lineRule="exact"/>
              <w:rPr>
                <w:rFonts w:ascii="仿宋" w:hAnsi="仿宋" w:eastAsia="仿宋"/>
                <w:bCs/>
                <w:sz w:val="24"/>
                <w:szCs w:val="24"/>
              </w:rPr>
            </w:pPr>
            <w:r>
              <w:rPr>
                <w:rFonts w:ascii="仿宋" w:hAnsi="仿宋" w:eastAsia="仿宋"/>
                <w:bCs/>
                <w:sz w:val="24"/>
                <w:szCs w:val="24"/>
              </w:rPr>
              <w:t>程浩，排名1，</w:t>
            </w:r>
            <w:r>
              <w:rPr>
                <w:rFonts w:hint="eastAsia" w:ascii="仿宋" w:hAnsi="仿宋" w:eastAsia="仿宋"/>
                <w:bCs/>
                <w:sz w:val="24"/>
                <w:szCs w:val="24"/>
              </w:rPr>
              <w:t>主任医师</w:t>
            </w:r>
            <w:r>
              <w:rPr>
                <w:rFonts w:ascii="仿宋" w:hAnsi="仿宋" w:eastAsia="仿宋"/>
                <w:bCs/>
                <w:sz w:val="24"/>
                <w:szCs w:val="24"/>
              </w:rPr>
              <w:t>，</w:t>
            </w:r>
            <w:r>
              <w:rPr>
                <w:rFonts w:hint="eastAsia" w:ascii="仿宋" w:hAnsi="仿宋" w:eastAsia="仿宋"/>
                <w:bCs/>
                <w:sz w:val="24"/>
                <w:szCs w:val="24"/>
              </w:rPr>
              <w:t>浙江大学医学院附属邵逸夫医院</w:t>
            </w:r>
            <w:r>
              <w:rPr>
                <w:rFonts w:ascii="仿宋" w:hAnsi="仿宋" w:eastAsia="仿宋"/>
                <w:bCs/>
                <w:sz w:val="24"/>
                <w:szCs w:val="24"/>
              </w:rPr>
              <w:t>；</w:t>
            </w:r>
          </w:p>
          <w:p w14:paraId="2119C69F">
            <w:pPr>
              <w:spacing w:line="440" w:lineRule="exact"/>
              <w:rPr>
                <w:rFonts w:ascii="仿宋" w:hAnsi="仿宋" w:eastAsia="仿宋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/>
                <w:bCs/>
                <w:sz w:val="24"/>
                <w:szCs w:val="24"/>
              </w:rPr>
              <w:t>朱江</w:t>
            </w:r>
            <w:r>
              <w:rPr>
                <w:rFonts w:ascii="仿宋" w:hAnsi="仿宋" w:eastAsia="仿宋"/>
                <w:bCs/>
                <w:sz w:val="24"/>
                <w:szCs w:val="24"/>
              </w:rPr>
              <w:t>，排名</w:t>
            </w:r>
            <w:r>
              <w:rPr>
                <w:rFonts w:hint="eastAsia" w:ascii="仿宋" w:hAnsi="仿宋" w:eastAsia="仿宋"/>
                <w:bCs/>
                <w:sz w:val="24"/>
                <w:szCs w:val="24"/>
              </w:rPr>
              <w:t>2</w:t>
            </w:r>
            <w:r>
              <w:rPr>
                <w:rFonts w:ascii="仿宋" w:hAnsi="仿宋" w:eastAsia="仿宋"/>
                <w:bCs/>
                <w:sz w:val="24"/>
                <w:szCs w:val="24"/>
              </w:rPr>
              <w:t>，副</w:t>
            </w:r>
            <w:r>
              <w:rPr>
                <w:rFonts w:hint="eastAsia" w:ascii="仿宋" w:hAnsi="仿宋" w:eastAsia="仿宋"/>
                <w:bCs/>
                <w:sz w:val="24"/>
                <w:szCs w:val="24"/>
              </w:rPr>
              <w:t>主任医师</w:t>
            </w:r>
            <w:r>
              <w:rPr>
                <w:rFonts w:ascii="仿宋" w:hAnsi="仿宋" w:eastAsia="仿宋"/>
                <w:bCs/>
                <w:sz w:val="24"/>
                <w:szCs w:val="24"/>
              </w:rPr>
              <w:t>，</w:t>
            </w:r>
            <w:r>
              <w:rPr>
                <w:rFonts w:hint="eastAsia" w:ascii="仿宋" w:hAnsi="仿宋" w:eastAsia="仿宋"/>
                <w:bCs/>
                <w:sz w:val="24"/>
                <w:szCs w:val="24"/>
              </w:rPr>
              <w:t>浙江大学医学院附属邵逸夫医院</w:t>
            </w:r>
            <w:r>
              <w:rPr>
                <w:rFonts w:ascii="仿宋" w:hAnsi="仿宋" w:eastAsia="仿宋"/>
                <w:bCs/>
                <w:sz w:val="24"/>
                <w:szCs w:val="24"/>
              </w:rPr>
              <w:t>；</w:t>
            </w:r>
          </w:p>
          <w:p w14:paraId="2F2D4FFF">
            <w:pPr>
              <w:spacing w:line="440" w:lineRule="exact"/>
              <w:rPr>
                <w:rFonts w:ascii="仿宋" w:hAnsi="仿宋" w:eastAsia="仿宋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/>
                <w:bCs/>
                <w:sz w:val="24"/>
                <w:szCs w:val="24"/>
              </w:rPr>
              <w:t>陈贤祯</w:t>
            </w:r>
            <w:r>
              <w:rPr>
                <w:rFonts w:ascii="仿宋" w:hAnsi="仿宋" w:eastAsia="仿宋"/>
                <w:bCs/>
                <w:sz w:val="24"/>
                <w:szCs w:val="24"/>
              </w:rPr>
              <w:t>，排名</w:t>
            </w:r>
            <w:r>
              <w:rPr>
                <w:rFonts w:hint="eastAsia" w:ascii="仿宋" w:hAnsi="仿宋" w:eastAsia="仿宋"/>
                <w:bCs/>
                <w:sz w:val="24"/>
                <w:szCs w:val="24"/>
              </w:rPr>
              <w:t>3</w:t>
            </w:r>
            <w:r>
              <w:rPr>
                <w:rFonts w:ascii="仿宋" w:hAnsi="仿宋" w:eastAsia="仿宋"/>
                <w:bCs/>
                <w:sz w:val="24"/>
                <w:szCs w:val="24"/>
              </w:rPr>
              <w:t>，副</w:t>
            </w:r>
            <w:r>
              <w:rPr>
                <w:rFonts w:hint="eastAsia" w:ascii="仿宋" w:hAnsi="仿宋" w:eastAsia="仿宋"/>
                <w:bCs/>
                <w:sz w:val="24"/>
                <w:szCs w:val="24"/>
              </w:rPr>
              <w:t>主任医师</w:t>
            </w:r>
            <w:r>
              <w:rPr>
                <w:rFonts w:ascii="仿宋" w:hAnsi="仿宋" w:eastAsia="仿宋"/>
                <w:bCs/>
                <w:sz w:val="24"/>
                <w:szCs w:val="24"/>
              </w:rPr>
              <w:t>，</w:t>
            </w:r>
            <w:r>
              <w:rPr>
                <w:rFonts w:hint="eastAsia" w:ascii="仿宋" w:hAnsi="仿宋" w:eastAsia="仿宋"/>
                <w:bCs/>
                <w:sz w:val="24"/>
                <w:szCs w:val="24"/>
              </w:rPr>
              <w:t>浙江大学医学院附属邵逸夫医院</w:t>
            </w:r>
            <w:r>
              <w:rPr>
                <w:rFonts w:ascii="仿宋" w:hAnsi="仿宋" w:eastAsia="仿宋"/>
                <w:bCs/>
                <w:sz w:val="24"/>
                <w:szCs w:val="24"/>
              </w:rPr>
              <w:t>；</w:t>
            </w:r>
          </w:p>
          <w:p w14:paraId="253FB1A2">
            <w:pPr>
              <w:spacing w:line="440" w:lineRule="exact"/>
              <w:rPr>
                <w:rFonts w:ascii="仿宋" w:hAnsi="仿宋" w:eastAsia="仿宋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/>
                <w:bCs/>
                <w:sz w:val="24"/>
                <w:szCs w:val="24"/>
              </w:rPr>
              <w:t>宋寅敬</w:t>
            </w:r>
            <w:r>
              <w:rPr>
                <w:rFonts w:ascii="仿宋" w:hAnsi="仿宋" w:eastAsia="仿宋"/>
                <w:bCs/>
                <w:sz w:val="24"/>
                <w:szCs w:val="24"/>
              </w:rPr>
              <w:t>，排名</w:t>
            </w:r>
            <w:r>
              <w:rPr>
                <w:rFonts w:hint="eastAsia" w:ascii="仿宋" w:hAnsi="仿宋" w:eastAsia="仿宋"/>
                <w:bCs/>
                <w:sz w:val="24"/>
                <w:szCs w:val="24"/>
              </w:rPr>
              <w:t>4</w:t>
            </w:r>
            <w:r>
              <w:rPr>
                <w:rFonts w:ascii="仿宋" w:hAnsi="仿宋" w:eastAsia="仿宋"/>
                <w:bCs/>
                <w:sz w:val="24"/>
                <w:szCs w:val="24"/>
              </w:rPr>
              <w:t>，</w:t>
            </w:r>
            <w:r>
              <w:rPr>
                <w:rFonts w:hint="eastAsia" w:ascii="仿宋" w:hAnsi="仿宋" w:eastAsia="仿宋"/>
                <w:bCs/>
                <w:sz w:val="24"/>
                <w:szCs w:val="24"/>
              </w:rPr>
              <w:t>特聘副研究员</w:t>
            </w:r>
            <w:r>
              <w:rPr>
                <w:rFonts w:ascii="仿宋" w:hAnsi="仿宋" w:eastAsia="仿宋"/>
                <w:bCs/>
                <w:sz w:val="24"/>
                <w:szCs w:val="24"/>
              </w:rPr>
              <w:t>，</w:t>
            </w:r>
            <w:r>
              <w:rPr>
                <w:rFonts w:hint="eastAsia" w:ascii="仿宋" w:hAnsi="仿宋" w:eastAsia="仿宋"/>
                <w:bCs/>
                <w:sz w:val="24"/>
                <w:szCs w:val="24"/>
              </w:rPr>
              <w:t>浙江大学医学院附属邵逸夫医院</w:t>
            </w:r>
            <w:r>
              <w:rPr>
                <w:rFonts w:ascii="仿宋" w:hAnsi="仿宋" w:eastAsia="仿宋"/>
                <w:bCs/>
                <w:sz w:val="24"/>
                <w:szCs w:val="24"/>
              </w:rPr>
              <w:t>；</w:t>
            </w:r>
          </w:p>
          <w:p w14:paraId="291D51A8">
            <w:pPr>
              <w:spacing w:line="440" w:lineRule="exact"/>
              <w:rPr>
                <w:rFonts w:ascii="仿宋" w:hAnsi="仿宋" w:eastAsia="仿宋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/>
                <w:bCs/>
                <w:sz w:val="24"/>
                <w:szCs w:val="24"/>
              </w:rPr>
              <w:t>朱可建</w:t>
            </w:r>
            <w:r>
              <w:rPr>
                <w:rFonts w:ascii="仿宋" w:hAnsi="仿宋" w:eastAsia="仿宋"/>
                <w:bCs/>
                <w:sz w:val="24"/>
                <w:szCs w:val="24"/>
              </w:rPr>
              <w:t>，排名</w:t>
            </w:r>
            <w:r>
              <w:rPr>
                <w:rFonts w:hint="eastAsia" w:ascii="仿宋" w:hAnsi="仿宋" w:eastAsia="仿宋"/>
                <w:bCs/>
                <w:sz w:val="24"/>
                <w:szCs w:val="24"/>
              </w:rPr>
              <w:t>5</w:t>
            </w:r>
            <w:r>
              <w:rPr>
                <w:rFonts w:ascii="仿宋" w:hAnsi="仿宋" w:eastAsia="仿宋"/>
                <w:bCs/>
                <w:sz w:val="24"/>
                <w:szCs w:val="24"/>
              </w:rPr>
              <w:t>，</w:t>
            </w:r>
            <w:r>
              <w:rPr>
                <w:rFonts w:hint="eastAsia" w:ascii="仿宋" w:hAnsi="仿宋" w:eastAsia="仿宋"/>
                <w:bCs/>
                <w:sz w:val="24"/>
                <w:szCs w:val="24"/>
              </w:rPr>
              <w:t>主任医师</w:t>
            </w:r>
            <w:r>
              <w:rPr>
                <w:rFonts w:ascii="仿宋" w:hAnsi="仿宋" w:eastAsia="仿宋"/>
                <w:bCs/>
                <w:sz w:val="24"/>
                <w:szCs w:val="24"/>
              </w:rPr>
              <w:t>，</w:t>
            </w:r>
            <w:r>
              <w:rPr>
                <w:rFonts w:hint="eastAsia" w:ascii="仿宋" w:hAnsi="仿宋" w:eastAsia="仿宋"/>
                <w:bCs/>
                <w:sz w:val="24"/>
                <w:szCs w:val="24"/>
              </w:rPr>
              <w:t>浙江大学医学院附属邵逸夫医院</w:t>
            </w:r>
            <w:r>
              <w:rPr>
                <w:rFonts w:ascii="仿宋" w:hAnsi="仿宋" w:eastAsia="仿宋"/>
                <w:bCs/>
                <w:sz w:val="24"/>
                <w:szCs w:val="24"/>
              </w:rPr>
              <w:t>；</w:t>
            </w:r>
          </w:p>
          <w:p w14:paraId="23F08CCA">
            <w:pPr>
              <w:spacing w:line="440" w:lineRule="exact"/>
              <w:rPr>
                <w:rFonts w:ascii="仿宋" w:hAnsi="仿宋" w:eastAsia="仿宋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/>
                <w:bCs/>
                <w:sz w:val="24"/>
                <w:szCs w:val="24"/>
              </w:rPr>
              <w:t>郑俏丽</w:t>
            </w:r>
            <w:r>
              <w:rPr>
                <w:rFonts w:ascii="仿宋" w:hAnsi="仿宋" w:eastAsia="仿宋"/>
                <w:bCs/>
                <w:sz w:val="24"/>
                <w:szCs w:val="24"/>
              </w:rPr>
              <w:t>，排名</w:t>
            </w:r>
            <w:r>
              <w:rPr>
                <w:rFonts w:hint="eastAsia" w:ascii="仿宋" w:hAnsi="仿宋" w:eastAsia="仿宋"/>
                <w:bCs/>
                <w:sz w:val="24"/>
                <w:szCs w:val="24"/>
              </w:rPr>
              <w:t>6</w:t>
            </w:r>
            <w:r>
              <w:rPr>
                <w:rFonts w:ascii="仿宋" w:hAnsi="仿宋" w:eastAsia="仿宋"/>
                <w:bCs/>
                <w:sz w:val="24"/>
                <w:szCs w:val="24"/>
              </w:rPr>
              <w:t>，副</w:t>
            </w:r>
            <w:r>
              <w:rPr>
                <w:rFonts w:hint="eastAsia" w:ascii="仿宋" w:hAnsi="仿宋" w:eastAsia="仿宋"/>
                <w:bCs/>
                <w:sz w:val="24"/>
                <w:szCs w:val="24"/>
              </w:rPr>
              <w:t>主任医师</w:t>
            </w:r>
            <w:r>
              <w:rPr>
                <w:rFonts w:ascii="仿宋" w:hAnsi="仿宋" w:eastAsia="仿宋"/>
                <w:bCs/>
                <w:sz w:val="24"/>
                <w:szCs w:val="24"/>
              </w:rPr>
              <w:t>，</w:t>
            </w:r>
            <w:r>
              <w:rPr>
                <w:rFonts w:hint="eastAsia" w:ascii="仿宋" w:hAnsi="仿宋" w:eastAsia="仿宋"/>
                <w:bCs/>
                <w:sz w:val="24"/>
                <w:szCs w:val="24"/>
              </w:rPr>
              <w:t>浙江大学医学院附属邵逸夫医院</w:t>
            </w:r>
            <w:r>
              <w:rPr>
                <w:rFonts w:ascii="仿宋" w:hAnsi="仿宋" w:eastAsia="仿宋"/>
                <w:bCs/>
                <w:sz w:val="24"/>
                <w:szCs w:val="24"/>
              </w:rPr>
              <w:t>；</w:t>
            </w:r>
          </w:p>
          <w:p w14:paraId="4F16379E">
            <w:pPr>
              <w:spacing w:line="440" w:lineRule="exact"/>
              <w:rPr>
                <w:rFonts w:ascii="仿宋" w:hAnsi="仿宋" w:eastAsia="仿宋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/>
                <w:bCs/>
                <w:sz w:val="24"/>
                <w:szCs w:val="24"/>
              </w:rPr>
              <w:t>张博雅</w:t>
            </w:r>
            <w:r>
              <w:rPr>
                <w:rFonts w:ascii="仿宋" w:hAnsi="仿宋" w:eastAsia="仿宋"/>
                <w:bCs/>
                <w:sz w:val="24"/>
                <w:szCs w:val="24"/>
              </w:rPr>
              <w:t>，排名</w:t>
            </w:r>
            <w:r>
              <w:rPr>
                <w:rFonts w:hint="eastAsia" w:ascii="仿宋" w:hAnsi="仿宋" w:eastAsia="仿宋"/>
                <w:bCs/>
                <w:sz w:val="24"/>
                <w:szCs w:val="24"/>
              </w:rPr>
              <w:t>7</w:t>
            </w:r>
            <w:r>
              <w:rPr>
                <w:rFonts w:ascii="仿宋" w:hAnsi="仿宋" w:eastAsia="仿宋"/>
                <w:bCs/>
                <w:sz w:val="24"/>
                <w:szCs w:val="24"/>
              </w:rPr>
              <w:t>，主治</w:t>
            </w:r>
            <w:r>
              <w:rPr>
                <w:rFonts w:hint="eastAsia" w:ascii="仿宋" w:hAnsi="仿宋" w:eastAsia="仿宋"/>
                <w:bCs/>
                <w:sz w:val="24"/>
                <w:szCs w:val="24"/>
              </w:rPr>
              <w:t>医师</w:t>
            </w:r>
            <w:r>
              <w:rPr>
                <w:rFonts w:ascii="仿宋" w:hAnsi="仿宋" w:eastAsia="仿宋"/>
                <w:bCs/>
                <w:sz w:val="24"/>
                <w:szCs w:val="24"/>
              </w:rPr>
              <w:t>，</w:t>
            </w:r>
            <w:r>
              <w:rPr>
                <w:rFonts w:hint="eastAsia" w:ascii="仿宋" w:hAnsi="仿宋" w:eastAsia="仿宋"/>
                <w:bCs/>
                <w:sz w:val="24"/>
                <w:szCs w:val="24"/>
              </w:rPr>
              <w:t>浙江大学医学院附属邵逸夫医院</w:t>
            </w:r>
            <w:r>
              <w:rPr>
                <w:rFonts w:ascii="仿宋" w:hAnsi="仿宋" w:eastAsia="仿宋"/>
                <w:bCs/>
                <w:sz w:val="24"/>
                <w:szCs w:val="24"/>
              </w:rPr>
              <w:t>；</w:t>
            </w:r>
          </w:p>
          <w:p w14:paraId="52BEF3F0">
            <w:pPr>
              <w:spacing w:line="440" w:lineRule="exact"/>
              <w:rPr>
                <w:rFonts w:ascii="仿宋" w:hAnsi="仿宋" w:eastAsia="仿宋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/>
                <w:bCs/>
                <w:sz w:val="24"/>
                <w:szCs w:val="24"/>
              </w:rPr>
              <w:t>华春婷</w:t>
            </w:r>
            <w:r>
              <w:rPr>
                <w:rFonts w:ascii="仿宋" w:hAnsi="仿宋" w:eastAsia="仿宋"/>
                <w:bCs/>
                <w:sz w:val="24"/>
                <w:szCs w:val="24"/>
              </w:rPr>
              <w:t>，排名</w:t>
            </w:r>
            <w:r>
              <w:rPr>
                <w:rFonts w:hint="eastAsia" w:ascii="仿宋" w:hAnsi="仿宋" w:eastAsia="仿宋"/>
                <w:bCs/>
                <w:sz w:val="24"/>
                <w:szCs w:val="24"/>
              </w:rPr>
              <w:t>8</w:t>
            </w:r>
            <w:r>
              <w:rPr>
                <w:rFonts w:ascii="仿宋" w:hAnsi="仿宋" w:eastAsia="仿宋"/>
                <w:bCs/>
                <w:sz w:val="24"/>
                <w:szCs w:val="24"/>
              </w:rPr>
              <w:t>，住院</w:t>
            </w:r>
            <w:r>
              <w:rPr>
                <w:rFonts w:hint="eastAsia" w:ascii="仿宋" w:hAnsi="仿宋" w:eastAsia="仿宋"/>
                <w:bCs/>
                <w:sz w:val="24"/>
                <w:szCs w:val="24"/>
              </w:rPr>
              <w:t>医师</w:t>
            </w:r>
            <w:r>
              <w:rPr>
                <w:rFonts w:ascii="仿宋" w:hAnsi="仿宋" w:eastAsia="仿宋"/>
                <w:bCs/>
                <w:sz w:val="24"/>
                <w:szCs w:val="24"/>
              </w:rPr>
              <w:t>，</w:t>
            </w:r>
            <w:r>
              <w:rPr>
                <w:rFonts w:hint="eastAsia" w:ascii="仿宋" w:hAnsi="仿宋" w:eastAsia="仿宋"/>
                <w:bCs/>
                <w:sz w:val="24"/>
                <w:szCs w:val="24"/>
              </w:rPr>
              <w:t>浙江大学医学院附属邵逸夫医院</w:t>
            </w:r>
            <w:r>
              <w:rPr>
                <w:rFonts w:ascii="仿宋" w:hAnsi="仿宋" w:eastAsia="仿宋"/>
                <w:bCs/>
                <w:sz w:val="24"/>
                <w:szCs w:val="24"/>
              </w:rPr>
              <w:t>；</w:t>
            </w:r>
          </w:p>
          <w:p w14:paraId="79E9516E">
            <w:pPr>
              <w:spacing w:line="440" w:lineRule="exact"/>
              <w:rPr>
                <w:rFonts w:ascii="仿宋" w:hAnsi="仿宋" w:eastAsia="仿宋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/>
                <w:bCs/>
                <w:sz w:val="24"/>
                <w:szCs w:val="24"/>
              </w:rPr>
              <w:t>Stijn van der Veen</w:t>
            </w:r>
            <w:r>
              <w:rPr>
                <w:rFonts w:ascii="仿宋" w:hAnsi="仿宋" w:eastAsia="仿宋"/>
                <w:bCs/>
                <w:sz w:val="24"/>
                <w:szCs w:val="24"/>
              </w:rPr>
              <w:t>，排名</w:t>
            </w:r>
            <w:r>
              <w:rPr>
                <w:rFonts w:hint="eastAsia" w:ascii="仿宋" w:hAnsi="仿宋" w:eastAsia="仿宋"/>
                <w:bCs/>
                <w:sz w:val="24"/>
                <w:szCs w:val="24"/>
              </w:rPr>
              <w:t>9</w:t>
            </w:r>
            <w:r>
              <w:rPr>
                <w:rFonts w:ascii="仿宋" w:hAnsi="仿宋" w:eastAsia="仿宋"/>
                <w:bCs/>
                <w:sz w:val="24"/>
                <w:szCs w:val="24"/>
              </w:rPr>
              <w:t>，</w:t>
            </w:r>
            <w:r>
              <w:rPr>
                <w:rFonts w:hint="eastAsia" w:ascii="仿宋" w:hAnsi="仿宋" w:eastAsia="仿宋"/>
                <w:bCs/>
                <w:sz w:val="24"/>
                <w:szCs w:val="24"/>
              </w:rPr>
              <w:t>教授</w:t>
            </w:r>
            <w:r>
              <w:rPr>
                <w:rFonts w:ascii="仿宋" w:hAnsi="仿宋" w:eastAsia="仿宋"/>
                <w:bCs/>
                <w:sz w:val="24"/>
                <w:szCs w:val="24"/>
              </w:rPr>
              <w:t>，</w:t>
            </w:r>
            <w:r>
              <w:rPr>
                <w:rFonts w:hint="eastAsia" w:ascii="仿宋" w:hAnsi="仿宋" w:eastAsia="仿宋"/>
                <w:bCs/>
                <w:sz w:val="24"/>
                <w:szCs w:val="24"/>
              </w:rPr>
              <w:t>浙江大学</w:t>
            </w:r>
            <w:r>
              <w:rPr>
                <w:rFonts w:ascii="仿宋" w:hAnsi="仿宋" w:eastAsia="仿宋"/>
                <w:bCs/>
                <w:sz w:val="24"/>
                <w:szCs w:val="24"/>
              </w:rPr>
              <w:t>；</w:t>
            </w:r>
          </w:p>
          <w:p w14:paraId="48E85E79">
            <w:pPr>
              <w:spacing w:line="440" w:lineRule="exact"/>
              <w:rPr>
                <w:rFonts w:ascii="仿宋" w:hAnsi="仿宋" w:eastAsia="仿宋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/>
                <w:bCs/>
                <w:sz w:val="24"/>
                <w:szCs w:val="24"/>
              </w:rPr>
              <w:t>陈思吉</w:t>
            </w:r>
            <w:r>
              <w:rPr>
                <w:rFonts w:ascii="仿宋" w:hAnsi="仿宋" w:eastAsia="仿宋"/>
                <w:bCs/>
                <w:sz w:val="24"/>
                <w:szCs w:val="24"/>
              </w:rPr>
              <w:t>，排名</w:t>
            </w:r>
            <w:r>
              <w:rPr>
                <w:rFonts w:hint="eastAsia" w:ascii="仿宋" w:hAnsi="仿宋" w:eastAsia="仿宋"/>
                <w:bCs/>
                <w:sz w:val="24"/>
                <w:szCs w:val="24"/>
              </w:rPr>
              <w:t>10</w:t>
            </w:r>
            <w:r>
              <w:rPr>
                <w:rFonts w:ascii="仿宋" w:hAnsi="仿宋" w:eastAsia="仿宋"/>
                <w:bCs/>
                <w:sz w:val="24"/>
                <w:szCs w:val="24"/>
              </w:rPr>
              <w:t>，</w:t>
            </w:r>
            <w:r>
              <w:rPr>
                <w:rFonts w:hint="eastAsia" w:ascii="仿宋" w:hAnsi="仿宋" w:eastAsia="仿宋"/>
                <w:bCs/>
                <w:sz w:val="24"/>
                <w:szCs w:val="24"/>
              </w:rPr>
              <w:t>住院医师</w:t>
            </w:r>
            <w:r>
              <w:rPr>
                <w:rFonts w:ascii="仿宋" w:hAnsi="仿宋" w:eastAsia="仿宋"/>
                <w:bCs/>
                <w:sz w:val="24"/>
                <w:szCs w:val="24"/>
              </w:rPr>
              <w:t>，</w:t>
            </w:r>
            <w:r>
              <w:rPr>
                <w:rFonts w:hint="eastAsia" w:ascii="仿宋" w:hAnsi="仿宋" w:eastAsia="仿宋"/>
                <w:bCs/>
                <w:sz w:val="24"/>
                <w:szCs w:val="24"/>
              </w:rPr>
              <w:t>浙江大学医学院附属邵逸夫医院</w:t>
            </w:r>
            <w:r>
              <w:rPr>
                <w:rFonts w:ascii="仿宋" w:hAnsi="仿宋" w:eastAsia="仿宋"/>
                <w:bCs/>
                <w:sz w:val="24"/>
                <w:szCs w:val="24"/>
              </w:rPr>
              <w:t>；</w:t>
            </w:r>
          </w:p>
        </w:tc>
      </w:tr>
      <w:tr w14:paraId="7A0EBFA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92" w:hRule="atLeast"/>
        </w:trPr>
        <w:tc>
          <w:tcPr>
            <w:tcW w:w="1483" w:type="dxa"/>
            <w:tcBorders>
              <w:right w:val="single" w:color="auto" w:sz="4" w:space="0"/>
            </w:tcBorders>
            <w:vAlign w:val="center"/>
          </w:tcPr>
          <w:p w14:paraId="770067E0">
            <w:pPr>
              <w:spacing w:line="440" w:lineRule="exact"/>
              <w:jc w:val="center"/>
              <w:rPr>
                <w:rFonts w:ascii="仿宋" w:hAnsi="仿宋" w:eastAsia="仿宋"/>
                <w:bCs/>
                <w:sz w:val="24"/>
                <w:szCs w:val="24"/>
              </w:rPr>
            </w:pPr>
            <w:r>
              <w:rPr>
                <w:rFonts w:ascii="仿宋" w:hAnsi="仿宋" w:eastAsia="仿宋"/>
                <w:bCs/>
                <w:sz w:val="24"/>
                <w:szCs w:val="24"/>
              </w:rPr>
              <w:t>主要完成单位</w:t>
            </w:r>
          </w:p>
        </w:tc>
        <w:tc>
          <w:tcPr>
            <w:tcW w:w="7023" w:type="dxa"/>
            <w:tcBorders>
              <w:left w:val="single" w:color="auto" w:sz="4" w:space="0"/>
            </w:tcBorders>
            <w:vAlign w:val="center"/>
          </w:tcPr>
          <w:p w14:paraId="5F0324EF">
            <w:pPr>
              <w:spacing w:line="440" w:lineRule="exact"/>
              <w:jc w:val="left"/>
              <w:rPr>
                <w:rFonts w:ascii="仿宋" w:hAnsi="仿宋" w:eastAsia="仿宋"/>
                <w:bCs/>
                <w:sz w:val="24"/>
                <w:szCs w:val="24"/>
              </w:rPr>
            </w:pPr>
            <w:r>
              <w:rPr>
                <w:rFonts w:ascii="仿宋" w:hAnsi="仿宋" w:eastAsia="仿宋"/>
                <w:bCs/>
                <w:sz w:val="24"/>
                <w:szCs w:val="24"/>
              </w:rPr>
              <w:t>浙江大学医学院附属</w:t>
            </w:r>
            <w:r>
              <w:rPr>
                <w:rFonts w:hint="eastAsia" w:ascii="仿宋" w:hAnsi="仿宋" w:eastAsia="仿宋"/>
                <w:bCs/>
                <w:sz w:val="24"/>
                <w:szCs w:val="24"/>
              </w:rPr>
              <w:t>邵逸夫医院</w:t>
            </w:r>
          </w:p>
        </w:tc>
      </w:tr>
      <w:tr w14:paraId="3EA894B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2" w:hRule="atLeast"/>
        </w:trPr>
        <w:tc>
          <w:tcPr>
            <w:tcW w:w="1483" w:type="dxa"/>
            <w:vAlign w:val="center"/>
          </w:tcPr>
          <w:p w14:paraId="1A23536D"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/>
                <w:sz w:val="24"/>
                <w:szCs w:val="24"/>
              </w:rPr>
              <w:t>提名单位</w:t>
            </w:r>
          </w:p>
        </w:tc>
        <w:tc>
          <w:tcPr>
            <w:tcW w:w="7023" w:type="dxa"/>
            <w:vAlign w:val="center"/>
          </w:tcPr>
          <w:p w14:paraId="29F7BC29">
            <w:pPr>
              <w:spacing w:line="440" w:lineRule="exact"/>
              <w:jc w:val="left"/>
              <w:rPr>
                <w:rFonts w:ascii="仿宋" w:hAnsi="仿宋" w:eastAsia="仿宋"/>
                <w:bCs/>
                <w:sz w:val="24"/>
                <w:szCs w:val="24"/>
              </w:rPr>
            </w:pPr>
            <w:r>
              <w:rPr>
                <w:rFonts w:ascii="仿宋" w:hAnsi="仿宋" w:eastAsia="仿宋"/>
                <w:bCs/>
                <w:sz w:val="24"/>
                <w:szCs w:val="24"/>
              </w:rPr>
              <w:t>浙江大学</w:t>
            </w:r>
          </w:p>
        </w:tc>
      </w:tr>
      <w:tr w14:paraId="3D3787B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15" w:hRule="atLeast"/>
        </w:trPr>
        <w:tc>
          <w:tcPr>
            <w:tcW w:w="1483" w:type="dxa"/>
            <w:vAlign w:val="center"/>
          </w:tcPr>
          <w:p w14:paraId="57D94123"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/>
                <w:sz w:val="24"/>
                <w:szCs w:val="24"/>
              </w:rPr>
              <w:t>提名意见</w:t>
            </w:r>
          </w:p>
        </w:tc>
        <w:tc>
          <w:tcPr>
            <w:tcW w:w="7023" w:type="dxa"/>
            <w:vAlign w:val="center"/>
          </w:tcPr>
          <w:p w14:paraId="31D488D0">
            <w:pPr>
              <w:spacing w:line="360" w:lineRule="auto"/>
              <w:contextualSpacing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本项目系统开展了临床与基础机制研究，在HPV免疫逃逸机制、自噬调控机制及诊断工具研发等方面取得了多项原创性突破，为HPV相关疾病的防治提供了重要的理论依据和技术支撑。项目团队已发表高水平学术论文80余篇，获授权发明专利1项，研究成果具有显著的学术价值和临床应用前景，整体达到国内领先水平，部分成果达到国际先进。</w:t>
            </w:r>
          </w:p>
          <w:p w14:paraId="29E73916">
            <w:pPr>
              <w:spacing w:line="360" w:lineRule="auto"/>
              <w:contextualSpacing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经单位审查，一致同意提名该项目申报科学技术进步奖。</w:t>
            </w:r>
          </w:p>
        </w:tc>
      </w:tr>
    </w:tbl>
    <w:p w14:paraId="1AD82898">
      <w:pPr>
        <w:adjustRightInd w:val="0"/>
        <w:snapToGrid w:val="0"/>
        <w:spacing w:line="560" w:lineRule="exact"/>
        <w:rPr>
          <w:rFonts w:eastAsia="仿宋_GB2312"/>
          <w:bCs/>
          <w:sz w:val="24"/>
          <w:szCs w:val="24"/>
        </w:rPr>
      </w:pPr>
    </w:p>
    <w:p w14:paraId="6967B8CD">
      <w:pPr>
        <w:widowControl/>
        <w:jc w:val="left"/>
        <w:rPr>
          <w:rFonts w:eastAsia="仿宋_GB2312"/>
          <w:bCs/>
          <w:sz w:val="24"/>
          <w:szCs w:val="24"/>
        </w:rPr>
      </w:pPr>
      <w:r>
        <w:rPr>
          <w:rFonts w:eastAsia="仿宋_GB2312"/>
          <w:bCs/>
          <w:sz w:val="24"/>
          <w:szCs w:val="24"/>
        </w:rPr>
        <w:br w:type="page"/>
      </w:r>
    </w:p>
    <w:p w14:paraId="1E7B9EAA">
      <w:pPr>
        <w:pStyle w:val="4"/>
        <w:spacing w:line="360" w:lineRule="auto"/>
        <w:jc w:val="center"/>
        <w:rPr>
          <w:rFonts w:ascii="仿宋" w:hAnsi="仿宋" w:eastAsia="仿宋"/>
          <w:bCs/>
          <w:sz w:val="24"/>
          <w:szCs w:val="24"/>
        </w:rPr>
      </w:pPr>
      <w:r>
        <w:rPr>
          <w:rFonts w:hint="eastAsia" w:ascii="仿宋" w:hAnsi="仿宋" w:eastAsia="仿宋"/>
          <w:bCs/>
          <w:sz w:val="24"/>
          <w:szCs w:val="24"/>
        </w:rPr>
        <w:t>主要知识产权和标准规范目录</w:t>
      </w:r>
    </w:p>
    <w:tbl>
      <w:tblPr>
        <w:tblStyle w:val="16"/>
        <w:tblW w:w="920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8"/>
        <w:gridCol w:w="1560"/>
        <w:gridCol w:w="851"/>
        <w:gridCol w:w="1205"/>
        <w:gridCol w:w="992"/>
        <w:gridCol w:w="1276"/>
        <w:gridCol w:w="1134"/>
        <w:gridCol w:w="1276"/>
      </w:tblGrid>
      <w:tr w14:paraId="62C991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C2B5E6B">
            <w:pPr>
              <w:spacing w:line="360" w:lineRule="auto"/>
              <w:jc w:val="center"/>
              <w:rPr>
                <w:rFonts w:ascii="仿宋" w:hAnsi="仿宋" w:eastAsia="仿宋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/>
                <w:bCs/>
                <w:sz w:val="24"/>
                <w:szCs w:val="24"/>
              </w:rPr>
              <w:t>知识产权</w:t>
            </w:r>
          </w:p>
          <w:p w14:paraId="0C51BDCA">
            <w:pPr>
              <w:spacing w:line="360" w:lineRule="auto"/>
              <w:jc w:val="center"/>
              <w:rPr>
                <w:rFonts w:ascii="仿宋" w:hAnsi="仿宋" w:eastAsia="仿宋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/>
                <w:bCs/>
                <w:sz w:val="24"/>
                <w:szCs w:val="24"/>
              </w:rPr>
              <w:t>（标准规范）类别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4BDEAA8">
            <w:pPr>
              <w:spacing w:line="360" w:lineRule="auto"/>
              <w:jc w:val="center"/>
              <w:rPr>
                <w:rFonts w:ascii="仿宋" w:hAnsi="仿宋" w:eastAsia="仿宋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/>
                <w:bCs/>
                <w:sz w:val="24"/>
                <w:szCs w:val="24"/>
              </w:rPr>
              <w:t>知识产权（标准规范）具体名称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CD3C9B3">
            <w:pPr>
              <w:spacing w:line="360" w:lineRule="auto"/>
              <w:jc w:val="center"/>
              <w:rPr>
                <w:rFonts w:ascii="仿宋" w:hAnsi="仿宋" w:eastAsia="仿宋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/>
                <w:bCs/>
                <w:sz w:val="24"/>
                <w:szCs w:val="24"/>
              </w:rPr>
              <w:t>国家</w:t>
            </w:r>
          </w:p>
          <w:p w14:paraId="17C6168A">
            <w:pPr>
              <w:spacing w:line="360" w:lineRule="auto"/>
              <w:jc w:val="center"/>
              <w:rPr>
                <w:rFonts w:ascii="仿宋" w:hAnsi="仿宋" w:eastAsia="仿宋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/>
                <w:bCs/>
                <w:sz w:val="24"/>
                <w:szCs w:val="24"/>
              </w:rPr>
              <w:t>（地区）</w:t>
            </w:r>
          </w:p>
        </w:tc>
        <w:tc>
          <w:tcPr>
            <w:tcW w:w="12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93D5B5">
            <w:pPr>
              <w:spacing w:line="360" w:lineRule="auto"/>
              <w:jc w:val="center"/>
              <w:rPr>
                <w:rFonts w:ascii="仿宋" w:hAnsi="仿宋" w:eastAsia="仿宋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/>
                <w:bCs/>
                <w:sz w:val="24"/>
                <w:szCs w:val="24"/>
              </w:rPr>
              <w:t>授权号</w:t>
            </w:r>
          </w:p>
          <w:p w14:paraId="178E46B8">
            <w:pPr>
              <w:spacing w:line="360" w:lineRule="auto"/>
              <w:jc w:val="center"/>
              <w:rPr>
                <w:rFonts w:ascii="仿宋" w:hAnsi="仿宋" w:eastAsia="仿宋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/>
                <w:bCs/>
                <w:sz w:val="24"/>
                <w:szCs w:val="24"/>
              </w:rPr>
              <w:t>（标准规范编号）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F5B2FB5">
            <w:pPr>
              <w:spacing w:line="360" w:lineRule="auto"/>
              <w:jc w:val="center"/>
              <w:rPr>
                <w:rFonts w:ascii="仿宋" w:hAnsi="仿宋" w:eastAsia="仿宋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/>
                <w:bCs/>
                <w:sz w:val="24"/>
                <w:szCs w:val="24"/>
              </w:rPr>
              <w:t>授权</w:t>
            </w:r>
          </w:p>
          <w:p w14:paraId="4B30AE85">
            <w:pPr>
              <w:spacing w:line="360" w:lineRule="auto"/>
              <w:jc w:val="center"/>
              <w:rPr>
                <w:rFonts w:ascii="仿宋" w:hAnsi="仿宋" w:eastAsia="仿宋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/>
                <w:bCs/>
                <w:sz w:val="24"/>
                <w:szCs w:val="24"/>
              </w:rPr>
              <w:t>（标准发布）</w:t>
            </w:r>
          </w:p>
          <w:p w14:paraId="5C3C87CC">
            <w:pPr>
              <w:spacing w:line="360" w:lineRule="auto"/>
              <w:jc w:val="center"/>
              <w:rPr>
                <w:rFonts w:ascii="仿宋" w:hAnsi="仿宋" w:eastAsia="仿宋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/>
                <w:bCs/>
                <w:sz w:val="24"/>
                <w:szCs w:val="24"/>
              </w:rPr>
              <w:t>日期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7B1899B">
            <w:pPr>
              <w:spacing w:line="360" w:lineRule="auto"/>
              <w:jc w:val="center"/>
              <w:rPr>
                <w:rFonts w:ascii="仿宋" w:hAnsi="仿宋" w:eastAsia="仿宋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/>
                <w:bCs/>
                <w:sz w:val="24"/>
                <w:szCs w:val="24"/>
              </w:rPr>
              <w:t>证书编号（标准规范批准发布部门）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8134967">
            <w:pPr>
              <w:spacing w:line="360" w:lineRule="auto"/>
              <w:jc w:val="center"/>
              <w:rPr>
                <w:rFonts w:ascii="仿宋" w:hAnsi="仿宋" w:eastAsia="仿宋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/>
                <w:bCs/>
                <w:sz w:val="24"/>
                <w:szCs w:val="24"/>
              </w:rPr>
              <w:t>权利人（标准规范起草单位）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1CB1398">
            <w:pPr>
              <w:spacing w:line="360" w:lineRule="auto"/>
              <w:jc w:val="center"/>
              <w:rPr>
                <w:rFonts w:ascii="仿宋" w:hAnsi="仿宋" w:eastAsia="仿宋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/>
                <w:bCs/>
                <w:sz w:val="24"/>
                <w:szCs w:val="24"/>
              </w:rPr>
              <w:t>发明人（标准规范起草人）</w:t>
            </w:r>
          </w:p>
        </w:tc>
      </w:tr>
      <w:tr w14:paraId="769D67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1017292">
            <w:pPr>
              <w:jc w:val="center"/>
              <w:rPr>
                <w:rFonts w:ascii="仿宋" w:hAnsi="仿宋" w:eastAsia="仿宋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/>
                <w:bCs/>
                <w:sz w:val="24"/>
                <w:szCs w:val="24"/>
              </w:rPr>
              <w:t>发明专利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F0D24E9">
            <w:pPr>
              <w:snapToGrid w:val="0"/>
              <w:jc w:val="center"/>
              <w:rPr>
                <w:rFonts w:ascii="仿宋" w:hAnsi="仿宋" w:eastAsia="仿宋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/>
                <w:bCs/>
                <w:sz w:val="24"/>
                <w:szCs w:val="24"/>
              </w:rPr>
              <w:t>人乳头瘤病毒8E7蛋白的表达及应用</w:t>
            </w:r>
          </w:p>
          <w:p w14:paraId="10B62682">
            <w:pPr>
              <w:rPr>
                <w:rFonts w:ascii="仿宋" w:hAnsi="仿宋" w:eastAsia="仿宋"/>
                <w:bCs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E4661F3">
            <w:pPr>
              <w:jc w:val="center"/>
              <w:rPr>
                <w:rFonts w:ascii="仿宋" w:hAnsi="仿宋" w:eastAsia="仿宋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/>
                <w:bCs/>
                <w:sz w:val="24"/>
                <w:szCs w:val="24"/>
              </w:rPr>
              <w:t>中国</w:t>
            </w:r>
          </w:p>
        </w:tc>
        <w:tc>
          <w:tcPr>
            <w:tcW w:w="12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3BD5710">
            <w:pPr>
              <w:jc w:val="center"/>
              <w:rPr>
                <w:rFonts w:ascii="仿宋" w:hAnsi="仿宋" w:eastAsia="仿宋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/>
                <w:bCs/>
                <w:sz w:val="24"/>
                <w:szCs w:val="24"/>
              </w:rPr>
              <w:t>ZL201410194991.1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2BBC82D">
            <w:pPr>
              <w:jc w:val="center"/>
              <w:rPr>
                <w:rFonts w:ascii="仿宋" w:hAnsi="仿宋" w:eastAsia="仿宋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/>
                <w:bCs/>
                <w:sz w:val="24"/>
                <w:szCs w:val="24"/>
              </w:rPr>
              <w:t>2</w:t>
            </w:r>
            <w:r>
              <w:rPr>
                <w:rFonts w:ascii="仿宋" w:hAnsi="仿宋" w:eastAsia="仿宋"/>
                <w:bCs/>
                <w:sz w:val="24"/>
                <w:szCs w:val="24"/>
              </w:rPr>
              <w:t>016.9.14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FD29A39">
            <w:pPr>
              <w:jc w:val="center"/>
              <w:rPr>
                <w:rFonts w:ascii="仿宋" w:hAnsi="仿宋" w:eastAsia="仿宋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/>
                <w:bCs/>
                <w:sz w:val="24"/>
                <w:szCs w:val="24"/>
              </w:rPr>
              <w:t>2</w:t>
            </w:r>
            <w:r>
              <w:rPr>
                <w:rFonts w:ascii="仿宋" w:hAnsi="仿宋" w:eastAsia="仿宋"/>
                <w:bCs/>
                <w:sz w:val="24"/>
                <w:szCs w:val="24"/>
              </w:rPr>
              <w:t>235060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39235F7">
            <w:pPr>
              <w:jc w:val="center"/>
              <w:rPr>
                <w:rFonts w:ascii="仿宋" w:hAnsi="仿宋" w:eastAsia="仿宋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/>
                <w:bCs/>
                <w:sz w:val="24"/>
                <w:szCs w:val="24"/>
              </w:rPr>
              <w:t>浙江大学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99003A0">
            <w:pPr>
              <w:jc w:val="center"/>
              <w:rPr>
                <w:rFonts w:ascii="仿宋" w:hAnsi="仿宋" w:eastAsia="仿宋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/>
                <w:bCs/>
                <w:sz w:val="24"/>
                <w:szCs w:val="24"/>
              </w:rPr>
              <w:t>程浩，陈贤祯，韩睿，朱可建，周强，丁杨.</w:t>
            </w:r>
          </w:p>
        </w:tc>
      </w:tr>
    </w:tbl>
    <w:p w14:paraId="2FAF4E2D">
      <w:pPr>
        <w:pStyle w:val="4"/>
        <w:spacing w:line="360" w:lineRule="auto"/>
        <w:jc w:val="center"/>
        <w:rPr>
          <w:rFonts w:ascii="仿宋" w:hAnsi="仿宋" w:eastAsia="仿宋"/>
          <w:bCs/>
          <w:sz w:val="24"/>
          <w:szCs w:val="24"/>
        </w:rPr>
      </w:pPr>
    </w:p>
    <w:p w14:paraId="7659B2E9">
      <w:pPr>
        <w:widowControl/>
        <w:jc w:val="left"/>
        <w:rPr>
          <w:rFonts w:ascii="仿宋" w:hAnsi="仿宋" w:eastAsia="仿宋"/>
          <w:bCs/>
          <w:sz w:val="24"/>
          <w:szCs w:val="24"/>
        </w:rPr>
      </w:pPr>
      <w:r>
        <w:rPr>
          <w:rFonts w:ascii="仿宋" w:hAnsi="仿宋" w:eastAsia="仿宋"/>
          <w:bCs/>
          <w:sz w:val="24"/>
          <w:szCs w:val="24"/>
        </w:rPr>
        <w:br w:type="page"/>
      </w:r>
    </w:p>
    <w:p w14:paraId="7AFDB123">
      <w:pPr>
        <w:pStyle w:val="4"/>
        <w:spacing w:line="360" w:lineRule="auto"/>
        <w:jc w:val="center"/>
        <w:rPr>
          <w:rFonts w:ascii="仿宋" w:hAnsi="仿宋" w:eastAsia="仿宋"/>
          <w:bCs/>
          <w:sz w:val="24"/>
          <w:szCs w:val="24"/>
        </w:rPr>
      </w:pPr>
      <w:r>
        <w:rPr>
          <w:rFonts w:hint="eastAsia" w:ascii="仿宋" w:hAnsi="仿宋" w:eastAsia="仿宋"/>
          <w:bCs/>
          <w:sz w:val="24"/>
          <w:szCs w:val="24"/>
        </w:rPr>
        <w:t>代表性论文（专著）目录</w:t>
      </w:r>
    </w:p>
    <w:tbl>
      <w:tblPr>
        <w:tblStyle w:val="16"/>
        <w:tblW w:w="8095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89"/>
        <w:gridCol w:w="2693"/>
        <w:gridCol w:w="970"/>
        <w:gridCol w:w="993"/>
        <w:gridCol w:w="850"/>
      </w:tblGrid>
      <w:tr w14:paraId="4A506FD7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7" w:hRule="exact"/>
          <w:jc w:val="center"/>
        </w:trPr>
        <w:tc>
          <w:tcPr>
            <w:tcW w:w="2589" w:type="dxa"/>
            <w:tcBorders>
              <w:top w:val="single" w:color="auto" w:sz="12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B0FEC9">
            <w:pPr>
              <w:jc w:val="center"/>
              <w:rPr>
                <w:rFonts w:ascii="仿宋" w:hAnsi="仿宋" w:eastAsia="仿宋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/>
                <w:bCs/>
                <w:sz w:val="24"/>
                <w:szCs w:val="24"/>
              </w:rPr>
              <w:t>作 者</w:t>
            </w:r>
          </w:p>
        </w:tc>
        <w:tc>
          <w:tcPr>
            <w:tcW w:w="2693" w:type="dxa"/>
            <w:tcBorders>
              <w:top w:val="single" w:color="auto" w:sz="12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8B179AB">
            <w:pPr>
              <w:jc w:val="center"/>
              <w:rPr>
                <w:rFonts w:ascii="仿宋" w:hAnsi="仿宋" w:eastAsia="仿宋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/>
                <w:bCs/>
                <w:sz w:val="24"/>
                <w:szCs w:val="24"/>
              </w:rPr>
              <w:t>论文（专著）名称/刊物</w:t>
            </w:r>
          </w:p>
        </w:tc>
        <w:tc>
          <w:tcPr>
            <w:tcW w:w="970" w:type="dxa"/>
            <w:tcBorders>
              <w:top w:val="single" w:color="auto" w:sz="12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10DD3DD">
            <w:pPr>
              <w:jc w:val="center"/>
              <w:rPr>
                <w:rFonts w:ascii="仿宋" w:hAnsi="仿宋" w:eastAsia="仿宋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/>
                <w:bCs/>
                <w:sz w:val="24"/>
                <w:szCs w:val="24"/>
              </w:rPr>
              <w:t>年卷</w:t>
            </w:r>
          </w:p>
          <w:p w14:paraId="54C1B79D">
            <w:pPr>
              <w:jc w:val="center"/>
              <w:rPr>
                <w:rFonts w:ascii="仿宋" w:hAnsi="仿宋" w:eastAsia="仿宋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/>
                <w:bCs/>
                <w:sz w:val="24"/>
                <w:szCs w:val="24"/>
              </w:rPr>
              <w:t>页码</w:t>
            </w:r>
          </w:p>
        </w:tc>
        <w:tc>
          <w:tcPr>
            <w:tcW w:w="993" w:type="dxa"/>
            <w:tcBorders>
              <w:top w:val="single" w:color="auto" w:sz="12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2C47FC">
            <w:pPr>
              <w:jc w:val="center"/>
              <w:rPr>
                <w:rFonts w:ascii="仿宋" w:hAnsi="仿宋" w:eastAsia="仿宋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/>
                <w:bCs/>
                <w:sz w:val="24"/>
                <w:szCs w:val="24"/>
              </w:rPr>
              <w:t>发表</w:t>
            </w:r>
          </w:p>
          <w:p w14:paraId="2708EB4B">
            <w:pPr>
              <w:jc w:val="center"/>
              <w:rPr>
                <w:rFonts w:ascii="仿宋" w:hAnsi="仿宋" w:eastAsia="仿宋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/>
                <w:bCs/>
                <w:sz w:val="24"/>
                <w:szCs w:val="24"/>
              </w:rPr>
              <w:t>时间</w:t>
            </w:r>
          </w:p>
          <w:p w14:paraId="274D39D1">
            <w:pPr>
              <w:jc w:val="center"/>
              <w:rPr>
                <w:rFonts w:ascii="仿宋" w:hAnsi="仿宋" w:eastAsia="仿宋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/>
                <w:bCs/>
                <w:sz w:val="24"/>
                <w:szCs w:val="24"/>
              </w:rPr>
              <w:t>（年、月）</w:t>
            </w:r>
          </w:p>
        </w:tc>
        <w:tc>
          <w:tcPr>
            <w:tcW w:w="850" w:type="dxa"/>
            <w:tcBorders>
              <w:top w:val="single" w:color="auto" w:sz="12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D0ABE62">
            <w:pPr>
              <w:jc w:val="center"/>
              <w:rPr>
                <w:rFonts w:ascii="仿宋" w:hAnsi="仿宋" w:eastAsia="仿宋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/>
                <w:bCs/>
                <w:sz w:val="24"/>
                <w:szCs w:val="24"/>
              </w:rPr>
              <w:t>他引</w:t>
            </w:r>
          </w:p>
          <w:p w14:paraId="73576D49">
            <w:pPr>
              <w:jc w:val="center"/>
              <w:rPr>
                <w:rFonts w:ascii="仿宋" w:hAnsi="仿宋" w:eastAsia="仿宋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/>
                <w:bCs/>
                <w:sz w:val="24"/>
                <w:szCs w:val="24"/>
              </w:rPr>
              <w:t>总次数</w:t>
            </w:r>
          </w:p>
        </w:tc>
      </w:tr>
      <w:tr w14:paraId="12255B76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93" w:hRule="exact"/>
          <w:jc w:val="center"/>
        </w:trPr>
        <w:tc>
          <w:tcPr>
            <w:tcW w:w="2589" w:type="dxa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606BE7">
            <w:pPr>
              <w:rPr>
                <w:rFonts w:hint="eastAsia" w:ascii="仿宋" w:hAnsi="仿宋" w:eastAsia="仿宋"/>
                <w:bCs/>
                <w:sz w:val="24"/>
                <w:szCs w:val="24"/>
              </w:rPr>
            </w:pPr>
            <w:r>
              <w:rPr>
                <w:rFonts w:ascii="仿宋" w:hAnsi="仿宋" w:eastAsia="仿宋"/>
                <w:bCs/>
                <w:sz w:val="24"/>
                <w:szCs w:val="24"/>
              </w:rPr>
              <w:t>Qiaoli Zheng, Tuan Wang, Shaojie Jiang, Rui Han, Na Jin, Jiang Zhu, Qiang Zhou, Hui Wang, Xianzhen Chen, Hao Cheng.</w:t>
            </w:r>
          </w:p>
          <w:p w14:paraId="0E80FC8C">
            <w:pPr>
              <w:rPr>
                <w:rFonts w:ascii="仿宋" w:hAnsi="仿宋" w:eastAsia="仿宋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/>
                <w:bCs/>
                <w:sz w:val="24"/>
                <w:szCs w:val="24"/>
              </w:rPr>
              <w:t>郑俏丽，王湍，姜少杰，韩睿，金纳，朱江，周强，王惠，陈贤祯，程浩</w:t>
            </w:r>
          </w:p>
        </w:tc>
        <w:tc>
          <w:tcPr>
            <w:tcW w:w="26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DBE84A">
            <w:pPr>
              <w:rPr>
                <w:rFonts w:ascii="仿宋" w:hAnsi="仿宋" w:eastAsia="仿宋"/>
                <w:bCs/>
                <w:sz w:val="24"/>
                <w:szCs w:val="24"/>
              </w:rPr>
            </w:pPr>
            <w:r>
              <w:rPr>
                <w:rFonts w:ascii="仿宋" w:hAnsi="仿宋" w:eastAsia="仿宋"/>
                <w:bCs/>
                <w:sz w:val="24"/>
                <w:szCs w:val="24"/>
              </w:rPr>
              <w:t xml:space="preserve">Production of Polyclonal Antibody to the HPV58 E7 Protein and Its Detection in Cervical Cancer./ PLOS </w:t>
            </w:r>
            <w:r>
              <w:rPr>
                <w:rFonts w:hint="eastAsia" w:ascii="仿宋" w:hAnsi="仿宋" w:eastAsia="仿宋"/>
                <w:bCs/>
                <w:sz w:val="24"/>
                <w:szCs w:val="24"/>
              </w:rPr>
              <w:t>O</w:t>
            </w:r>
            <w:r>
              <w:rPr>
                <w:rFonts w:ascii="仿宋" w:hAnsi="仿宋" w:eastAsia="仿宋"/>
                <w:bCs/>
                <w:sz w:val="24"/>
                <w:szCs w:val="24"/>
              </w:rPr>
              <w:t>NE.</w:t>
            </w:r>
          </w:p>
          <w:p w14:paraId="498E18D2">
            <w:pPr>
              <w:rPr>
                <w:rFonts w:ascii="仿宋" w:hAnsi="仿宋" w:eastAsia="仿宋"/>
                <w:bCs/>
                <w:sz w:val="24"/>
                <w:szCs w:val="24"/>
              </w:rPr>
            </w:pPr>
          </w:p>
        </w:tc>
        <w:tc>
          <w:tcPr>
            <w:tcW w:w="97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3921D6">
            <w:pPr>
              <w:rPr>
                <w:rFonts w:ascii="仿宋" w:hAnsi="仿宋" w:eastAsia="仿宋"/>
                <w:bCs/>
                <w:sz w:val="24"/>
                <w:szCs w:val="24"/>
              </w:rPr>
            </w:pPr>
            <w:r>
              <w:rPr>
                <w:rFonts w:ascii="仿宋" w:hAnsi="仿宋" w:eastAsia="仿宋"/>
                <w:bCs/>
                <w:sz w:val="24"/>
                <w:szCs w:val="24"/>
              </w:rPr>
              <w:t>2016</w:t>
            </w:r>
            <w:r>
              <w:rPr>
                <w:rFonts w:hint="eastAsia" w:ascii="仿宋" w:hAnsi="仿宋" w:eastAsia="仿宋"/>
                <w:bCs/>
                <w:sz w:val="24"/>
                <w:szCs w:val="24"/>
              </w:rPr>
              <w:t xml:space="preserve">, </w:t>
            </w:r>
            <w:r>
              <w:rPr>
                <w:rFonts w:ascii="仿宋" w:hAnsi="仿宋" w:eastAsia="仿宋"/>
                <w:bCs/>
                <w:sz w:val="24"/>
                <w:szCs w:val="24"/>
              </w:rPr>
              <w:t>11(12):e0169138.</w:t>
            </w:r>
          </w:p>
        </w:tc>
        <w:tc>
          <w:tcPr>
            <w:tcW w:w="9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C7F857">
            <w:pPr>
              <w:rPr>
                <w:rFonts w:ascii="仿宋" w:hAnsi="仿宋" w:eastAsia="仿宋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/>
                <w:bCs/>
                <w:sz w:val="24"/>
                <w:szCs w:val="24"/>
              </w:rPr>
              <w:t>2</w:t>
            </w:r>
            <w:r>
              <w:rPr>
                <w:rFonts w:ascii="仿宋" w:hAnsi="仿宋" w:eastAsia="仿宋"/>
                <w:bCs/>
                <w:sz w:val="24"/>
                <w:szCs w:val="24"/>
              </w:rPr>
              <w:t>016.11</w:t>
            </w:r>
          </w:p>
        </w:tc>
        <w:tc>
          <w:tcPr>
            <w:tcW w:w="85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977592">
            <w:pPr>
              <w:rPr>
                <w:rFonts w:ascii="仿宋" w:hAnsi="仿宋" w:eastAsia="仿宋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/>
                <w:bCs/>
                <w:sz w:val="24"/>
                <w:szCs w:val="24"/>
              </w:rPr>
              <w:t>6</w:t>
            </w:r>
          </w:p>
        </w:tc>
      </w:tr>
      <w:tr w14:paraId="2057C7D1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86" w:hRule="exact"/>
          <w:jc w:val="center"/>
        </w:trPr>
        <w:tc>
          <w:tcPr>
            <w:tcW w:w="2589" w:type="dxa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8F312B">
            <w:pPr>
              <w:rPr>
                <w:rFonts w:hint="eastAsia" w:ascii="仿宋" w:hAnsi="仿宋" w:eastAsia="仿宋"/>
                <w:bCs/>
                <w:sz w:val="24"/>
                <w:szCs w:val="24"/>
              </w:rPr>
            </w:pPr>
            <w:r>
              <w:rPr>
                <w:rFonts w:ascii="仿宋" w:hAnsi="仿宋" w:eastAsia="仿宋"/>
                <w:bCs/>
                <w:sz w:val="24"/>
                <w:szCs w:val="24"/>
              </w:rPr>
              <w:t>Rui, Han., Yin-Jing, Song., Si-Yuan, Sun., Qiang, Zhou., Xian-Zhen, Chen., Qiao-Li, Zheng., Hao, Cheng</w:t>
            </w:r>
          </w:p>
          <w:p w14:paraId="074422D7">
            <w:pPr>
              <w:rPr>
                <w:rFonts w:ascii="仿宋" w:hAnsi="仿宋" w:eastAsia="仿宋"/>
                <w:bCs/>
                <w:sz w:val="24"/>
                <w:szCs w:val="24"/>
              </w:rPr>
            </w:pPr>
            <w:r>
              <w:rPr>
                <w:rFonts w:ascii="仿宋" w:hAnsi="仿宋" w:eastAsia="仿宋"/>
                <w:bCs/>
                <w:sz w:val="24"/>
                <w:szCs w:val="24"/>
              </w:rPr>
              <w:t>韩睿，宋寅敬，孙思源，周强，陈贤祯，郑俏丽，程浩</w:t>
            </w:r>
          </w:p>
        </w:tc>
        <w:tc>
          <w:tcPr>
            <w:tcW w:w="26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96B3B0">
            <w:pPr>
              <w:rPr>
                <w:rFonts w:ascii="仿宋" w:hAnsi="仿宋" w:eastAsia="仿宋"/>
                <w:bCs/>
                <w:sz w:val="24"/>
                <w:szCs w:val="24"/>
              </w:rPr>
            </w:pPr>
            <w:r>
              <w:rPr>
                <w:rFonts w:ascii="仿宋" w:hAnsi="仿宋" w:eastAsia="仿宋"/>
                <w:bCs/>
                <w:sz w:val="24"/>
                <w:szCs w:val="24"/>
              </w:rPr>
              <w:t>Influence of Human Papillomavirus E7 Oncoprotein on Maturation and Function of Plasmacytoid Dendritic Cells In Vitro. / Virol Sin.</w:t>
            </w:r>
          </w:p>
        </w:tc>
        <w:tc>
          <w:tcPr>
            <w:tcW w:w="97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19322F9">
            <w:pPr>
              <w:rPr>
                <w:rFonts w:ascii="仿宋" w:hAnsi="仿宋" w:eastAsia="仿宋"/>
                <w:bCs/>
                <w:sz w:val="24"/>
                <w:szCs w:val="24"/>
              </w:rPr>
            </w:pPr>
            <w:r>
              <w:rPr>
                <w:rFonts w:ascii="仿宋" w:hAnsi="仿宋" w:eastAsia="仿宋"/>
                <w:bCs/>
                <w:sz w:val="24"/>
                <w:szCs w:val="24"/>
              </w:rPr>
              <w:t>2018;33(6):493-501.</w:t>
            </w:r>
          </w:p>
        </w:tc>
        <w:tc>
          <w:tcPr>
            <w:tcW w:w="9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07D0BAE">
            <w:pPr>
              <w:rPr>
                <w:rFonts w:ascii="仿宋" w:hAnsi="仿宋" w:eastAsia="仿宋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/>
                <w:bCs/>
                <w:sz w:val="24"/>
                <w:szCs w:val="24"/>
              </w:rPr>
              <w:t>2</w:t>
            </w:r>
            <w:r>
              <w:rPr>
                <w:rFonts w:ascii="仿宋" w:hAnsi="仿宋" w:eastAsia="仿宋"/>
                <w:bCs/>
                <w:sz w:val="24"/>
                <w:szCs w:val="24"/>
              </w:rPr>
              <w:t>018.12</w:t>
            </w:r>
          </w:p>
        </w:tc>
        <w:tc>
          <w:tcPr>
            <w:tcW w:w="85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62798B2">
            <w:pPr>
              <w:rPr>
                <w:rFonts w:ascii="仿宋" w:hAnsi="仿宋" w:eastAsia="仿宋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/>
                <w:bCs/>
                <w:sz w:val="24"/>
                <w:szCs w:val="24"/>
              </w:rPr>
              <w:t>11</w:t>
            </w:r>
          </w:p>
        </w:tc>
      </w:tr>
      <w:tr w14:paraId="2EC3D760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73" w:hRule="exact"/>
          <w:jc w:val="center"/>
        </w:trPr>
        <w:tc>
          <w:tcPr>
            <w:tcW w:w="2589" w:type="dxa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78D3B9">
            <w:pPr>
              <w:rPr>
                <w:rFonts w:hint="eastAsia" w:ascii="仿宋" w:hAnsi="仿宋" w:eastAsia="仿宋"/>
                <w:bCs/>
                <w:sz w:val="24"/>
                <w:szCs w:val="24"/>
              </w:rPr>
            </w:pPr>
            <w:r>
              <w:rPr>
                <w:rFonts w:ascii="仿宋" w:hAnsi="仿宋" w:eastAsia="仿宋"/>
                <w:bCs/>
                <w:sz w:val="24"/>
                <w:szCs w:val="24"/>
              </w:rPr>
              <w:t>Boya Zhang, Xianzhen Chen, Qiang Zhou, Yinjing Song, Siyuan Sun, Hao Cheng.</w:t>
            </w:r>
          </w:p>
          <w:p w14:paraId="6D03D3A0">
            <w:pPr>
              <w:rPr>
                <w:rFonts w:ascii="仿宋" w:hAnsi="仿宋" w:eastAsia="仿宋"/>
                <w:bCs/>
                <w:sz w:val="24"/>
                <w:szCs w:val="24"/>
              </w:rPr>
            </w:pPr>
            <w:r>
              <w:rPr>
                <w:rFonts w:ascii="仿宋" w:hAnsi="仿宋" w:eastAsia="仿宋"/>
                <w:bCs/>
                <w:sz w:val="24"/>
                <w:szCs w:val="24"/>
              </w:rPr>
              <w:t>张博雅，陈贤祯，周强，宋寅敬，孙思源，程浩</w:t>
            </w:r>
          </w:p>
        </w:tc>
        <w:tc>
          <w:tcPr>
            <w:tcW w:w="26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5336AC">
            <w:pPr>
              <w:rPr>
                <w:rFonts w:ascii="仿宋" w:hAnsi="仿宋" w:eastAsia="仿宋"/>
                <w:bCs/>
                <w:sz w:val="24"/>
                <w:szCs w:val="24"/>
              </w:rPr>
            </w:pPr>
            <w:r>
              <w:rPr>
                <w:rFonts w:ascii="仿宋" w:hAnsi="仿宋" w:eastAsia="仿宋"/>
                <w:bCs/>
                <w:sz w:val="24"/>
                <w:szCs w:val="24"/>
              </w:rPr>
              <w:t xml:space="preserve">Human gene expression microarray analysis of the HPV 6bE7-HaCaT stable cell line./ Gene. </w:t>
            </w:r>
          </w:p>
        </w:tc>
        <w:tc>
          <w:tcPr>
            <w:tcW w:w="97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719D0F">
            <w:pPr>
              <w:rPr>
                <w:rFonts w:ascii="仿宋" w:hAnsi="仿宋" w:eastAsia="仿宋"/>
                <w:bCs/>
                <w:sz w:val="24"/>
                <w:szCs w:val="24"/>
              </w:rPr>
            </w:pPr>
            <w:r>
              <w:rPr>
                <w:rFonts w:ascii="仿宋" w:hAnsi="仿宋" w:eastAsia="仿宋"/>
                <w:bCs/>
                <w:sz w:val="24"/>
                <w:szCs w:val="24"/>
              </w:rPr>
              <w:t xml:space="preserve">2018, (657) :60–68. </w:t>
            </w:r>
          </w:p>
        </w:tc>
        <w:tc>
          <w:tcPr>
            <w:tcW w:w="9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5E090D">
            <w:pPr>
              <w:rPr>
                <w:rFonts w:ascii="仿宋" w:hAnsi="仿宋" w:eastAsia="仿宋"/>
                <w:bCs/>
                <w:sz w:val="24"/>
                <w:szCs w:val="24"/>
              </w:rPr>
            </w:pPr>
            <w:r>
              <w:rPr>
                <w:rFonts w:ascii="仿宋" w:hAnsi="仿宋" w:eastAsia="仿宋"/>
                <w:bCs/>
                <w:sz w:val="24"/>
                <w:szCs w:val="24"/>
              </w:rPr>
              <w:t>2018.05</w:t>
            </w:r>
          </w:p>
        </w:tc>
        <w:tc>
          <w:tcPr>
            <w:tcW w:w="85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D7ABA34">
            <w:pPr>
              <w:rPr>
                <w:rFonts w:ascii="仿宋" w:hAnsi="仿宋" w:eastAsia="仿宋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/>
                <w:bCs/>
                <w:sz w:val="24"/>
                <w:szCs w:val="24"/>
              </w:rPr>
              <w:t>7</w:t>
            </w:r>
          </w:p>
        </w:tc>
      </w:tr>
      <w:tr w14:paraId="3CEA6055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85" w:hRule="exact"/>
          <w:jc w:val="center"/>
        </w:trPr>
        <w:tc>
          <w:tcPr>
            <w:tcW w:w="2589" w:type="dxa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5D0091">
            <w:pPr>
              <w:rPr>
                <w:rFonts w:hint="eastAsia" w:ascii="仿宋" w:hAnsi="仿宋" w:eastAsia="仿宋"/>
                <w:bCs/>
                <w:sz w:val="24"/>
                <w:szCs w:val="24"/>
              </w:rPr>
            </w:pPr>
            <w:r>
              <w:rPr>
                <w:rFonts w:ascii="仿宋" w:hAnsi="仿宋" w:eastAsia="仿宋"/>
                <w:bCs/>
                <w:sz w:val="24"/>
                <w:szCs w:val="24"/>
              </w:rPr>
              <w:t>Qiang, Zhou., Luxia, Chen., Yinjing, Song., Li, Ma., Peng, Xiao., Lingjing, Chen., Huimin, Zhen., Rui, Han., Xianzhen, Chen., Siyuan, Sun., Tuan, Wang., Boya, Zhang., Qingqing, Wang., Hao, Cheng</w:t>
            </w:r>
          </w:p>
          <w:p w14:paraId="2B881238">
            <w:pPr>
              <w:rPr>
                <w:rFonts w:ascii="仿宋" w:hAnsi="仿宋" w:eastAsia="仿宋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/>
                <w:bCs/>
                <w:sz w:val="24"/>
                <w:szCs w:val="24"/>
              </w:rPr>
              <w:t>周强，陈璐霞，宋寅敬，马丽，肖鹏，陈玲境，郑慧敏，韩睿，陈贤祯，孙思源，王湍，张博雅，王青青，程浩</w:t>
            </w:r>
          </w:p>
        </w:tc>
        <w:tc>
          <w:tcPr>
            <w:tcW w:w="26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E56118">
            <w:pPr>
              <w:rPr>
                <w:rFonts w:ascii="仿宋" w:hAnsi="仿宋" w:eastAsia="仿宋"/>
                <w:bCs/>
                <w:sz w:val="24"/>
                <w:szCs w:val="24"/>
              </w:rPr>
            </w:pPr>
            <w:r>
              <w:rPr>
                <w:rFonts w:ascii="仿宋" w:hAnsi="仿宋" w:eastAsia="仿宋"/>
                <w:bCs/>
                <w:sz w:val="24"/>
                <w:szCs w:val="24"/>
              </w:rPr>
              <w:t>Induction of co-inhibitory molecule CTLA-4 by human papillomavirus E7 protein through downregulation of histone methyltransferase JHDM1B expres</w:t>
            </w:r>
            <w:r>
              <w:rPr>
                <w:rFonts w:hint="eastAsia" w:ascii="仿宋" w:hAnsi="仿宋" w:eastAsia="仿宋"/>
                <w:bCs/>
                <w:sz w:val="24"/>
                <w:szCs w:val="24"/>
              </w:rPr>
              <w:t>sion.</w:t>
            </w:r>
            <w:r>
              <w:rPr>
                <w:rFonts w:ascii="仿宋" w:hAnsi="仿宋" w:eastAsia="仿宋"/>
                <w:bCs/>
                <w:sz w:val="24"/>
                <w:szCs w:val="24"/>
              </w:rPr>
              <w:t>/</w:t>
            </w:r>
            <w:r>
              <w:rPr>
                <w:rFonts w:hint="eastAsia" w:ascii="仿宋" w:hAnsi="仿宋" w:eastAsia="仿宋"/>
                <w:bCs/>
                <w:sz w:val="24"/>
                <w:szCs w:val="24"/>
              </w:rPr>
              <w:t xml:space="preserve"> Virology. </w:t>
            </w:r>
          </w:p>
        </w:tc>
        <w:tc>
          <w:tcPr>
            <w:tcW w:w="97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BF69127">
            <w:pPr>
              <w:rPr>
                <w:rFonts w:ascii="仿宋" w:hAnsi="仿宋" w:eastAsia="仿宋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/>
                <w:bCs/>
                <w:sz w:val="24"/>
                <w:szCs w:val="24"/>
              </w:rPr>
              <w:t>2019；2;538:111-118.</w:t>
            </w:r>
          </w:p>
        </w:tc>
        <w:tc>
          <w:tcPr>
            <w:tcW w:w="9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C417CD">
            <w:pPr>
              <w:rPr>
                <w:rFonts w:ascii="仿宋" w:hAnsi="仿宋" w:eastAsia="仿宋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/>
                <w:bCs/>
                <w:sz w:val="24"/>
                <w:szCs w:val="24"/>
              </w:rPr>
              <w:t>2</w:t>
            </w:r>
            <w:r>
              <w:rPr>
                <w:rFonts w:ascii="仿宋" w:hAnsi="仿宋" w:eastAsia="仿宋"/>
                <w:bCs/>
                <w:sz w:val="24"/>
                <w:szCs w:val="24"/>
              </w:rPr>
              <w:t>019</w:t>
            </w:r>
            <w:r>
              <w:rPr>
                <w:rFonts w:hint="eastAsia" w:ascii="仿宋" w:hAnsi="仿宋" w:eastAsia="仿宋"/>
                <w:bCs/>
                <w:sz w:val="24"/>
                <w:szCs w:val="24"/>
              </w:rPr>
              <w:t>．2</w:t>
            </w:r>
          </w:p>
        </w:tc>
        <w:tc>
          <w:tcPr>
            <w:tcW w:w="85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2BDA85">
            <w:pPr>
              <w:rPr>
                <w:rFonts w:ascii="仿宋" w:hAnsi="仿宋" w:eastAsia="仿宋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/>
                <w:bCs/>
                <w:sz w:val="24"/>
                <w:szCs w:val="24"/>
              </w:rPr>
              <w:t>10</w:t>
            </w:r>
          </w:p>
        </w:tc>
      </w:tr>
      <w:tr w14:paraId="1FE1D94B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63" w:hRule="exact"/>
          <w:jc w:val="center"/>
        </w:trPr>
        <w:tc>
          <w:tcPr>
            <w:tcW w:w="2589" w:type="dxa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9849777">
            <w:pPr>
              <w:rPr>
                <w:rFonts w:hint="eastAsia" w:ascii="仿宋" w:hAnsi="仿宋" w:eastAsia="仿宋"/>
                <w:bCs/>
                <w:sz w:val="24"/>
                <w:szCs w:val="24"/>
              </w:rPr>
            </w:pPr>
            <w:r>
              <w:rPr>
                <w:rFonts w:ascii="仿宋" w:hAnsi="仿宋" w:eastAsia="仿宋"/>
                <w:bCs/>
                <w:sz w:val="24"/>
                <w:szCs w:val="24"/>
              </w:rPr>
              <w:t>Boya, Zhang., Yinjing, Song., Siyuan, Sun., Rui, Han., Chunting, Hua., Stijn, van der Veen., Hao, Cheng</w:t>
            </w:r>
          </w:p>
          <w:p w14:paraId="7827DA66">
            <w:pPr>
              <w:rPr>
                <w:rFonts w:ascii="仿宋" w:hAnsi="仿宋" w:eastAsia="仿宋"/>
                <w:bCs/>
                <w:sz w:val="24"/>
                <w:szCs w:val="24"/>
              </w:rPr>
            </w:pPr>
            <w:r>
              <w:rPr>
                <w:rFonts w:ascii="仿宋" w:hAnsi="仿宋" w:eastAsia="仿宋"/>
                <w:bCs/>
                <w:sz w:val="24"/>
                <w:szCs w:val="24"/>
              </w:rPr>
              <w:t>张博雅，宋寅敬，孙思源，韩睿，华春婷，</w:t>
            </w:r>
            <w:r>
              <w:rPr>
                <w:rFonts w:hint="eastAsia" w:ascii="仿宋" w:hAnsi="仿宋" w:eastAsia="仿宋"/>
                <w:bCs/>
                <w:sz w:val="24"/>
                <w:szCs w:val="24"/>
              </w:rPr>
              <w:t>Stijn van der Veen,程浩</w:t>
            </w:r>
          </w:p>
        </w:tc>
        <w:tc>
          <w:tcPr>
            <w:tcW w:w="26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CAA176">
            <w:pPr>
              <w:rPr>
                <w:rFonts w:ascii="仿宋" w:hAnsi="仿宋" w:eastAsia="仿宋"/>
                <w:bCs/>
                <w:sz w:val="24"/>
                <w:szCs w:val="24"/>
              </w:rPr>
            </w:pPr>
            <w:r>
              <w:rPr>
                <w:rFonts w:ascii="仿宋" w:hAnsi="仿宋" w:eastAsia="仿宋"/>
                <w:bCs/>
                <w:sz w:val="24"/>
                <w:szCs w:val="24"/>
              </w:rPr>
              <w:t>Human papillomavirus type 11 early protein E6 activates autophagy by repressing AKT/mTOR and Erk/mTOR./ J Virol.</w:t>
            </w:r>
          </w:p>
        </w:tc>
        <w:tc>
          <w:tcPr>
            <w:tcW w:w="97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B89028">
            <w:pPr>
              <w:rPr>
                <w:rFonts w:ascii="仿宋" w:hAnsi="仿宋" w:eastAsia="仿宋"/>
                <w:bCs/>
                <w:sz w:val="24"/>
                <w:szCs w:val="24"/>
              </w:rPr>
            </w:pPr>
            <w:r>
              <w:rPr>
                <w:rFonts w:ascii="仿宋" w:hAnsi="仿宋" w:eastAsia="仿宋"/>
                <w:bCs/>
                <w:sz w:val="24"/>
                <w:szCs w:val="24"/>
              </w:rPr>
              <w:t xml:space="preserve">2019 ，29;93(12)：e00172-19.  </w:t>
            </w:r>
          </w:p>
        </w:tc>
        <w:tc>
          <w:tcPr>
            <w:tcW w:w="9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3FC863">
            <w:pPr>
              <w:rPr>
                <w:rFonts w:ascii="仿宋" w:hAnsi="仿宋" w:eastAsia="仿宋"/>
                <w:bCs/>
                <w:sz w:val="24"/>
                <w:szCs w:val="24"/>
              </w:rPr>
            </w:pPr>
            <w:r>
              <w:rPr>
                <w:rFonts w:ascii="仿宋" w:hAnsi="仿宋" w:eastAsia="仿宋"/>
                <w:bCs/>
                <w:sz w:val="24"/>
                <w:szCs w:val="24"/>
              </w:rPr>
              <w:t>2019.05</w:t>
            </w:r>
          </w:p>
        </w:tc>
        <w:tc>
          <w:tcPr>
            <w:tcW w:w="85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7FE30D">
            <w:pPr>
              <w:rPr>
                <w:rFonts w:ascii="仿宋" w:hAnsi="仿宋" w:eastAsia="仿宋"/>
                <w:bCs/>
                <w:sz w:val="24"/>
                <w:szCs w:val="24"/>
              </w:rPr>
            </w:pPr>
            <w:r>
              <w:rPr>
                <w:rFonts w:ascii="仿宋" w:hAnsi="仿宋" w:eastAsia="仿宋"/>
                <w:bCs/>
                <w:sz w:val="24"/>
                <w:szCs w:val="24"/>
              </w:rPr>
              <w:t>1</w:t>
            </w:r>
            <w:r>
              <w:rPr>
                <w:rFonts w:hint="eastAsia" w:ascii="仿宋" w:hAnsi="仿宋" w:eastAsia="仿宋"/>
                <w:bCs/>
                <w:sz w:val="24"/>
                <w:szCs w:val="24"/>
              </w:rPr>
              <w:t>7</w:t>
            </w:r>
          </w:p>
        </w:tc>
      </w:tr>
      <w:tr w14:paraId="3E396DDF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70" w:hRule="exact"/>
          <w:jc w:val="center"/>
        </w:trPr>
        <w:tc>
          <w:tcPr>
            <w:tcW w:w="2589" w:type="dxa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32D736">
            <w:pPr>
              <w:rPr>
                <w:rFonts w:hint="eastAsia" w:ascii="仿宋" w:hAnsi="仿宋" w:eastAsia="仿宋"/>
                <w:bCs/>
                <w:sz w:val="24"/>
                <w:szCs w:val="24"/>
              </w:rPr>
            </w:pPr>
            <w:r>
              <w:rPr>
                <w:rFonts w:ascii="仿宋" w:hAnsi="仿宋" w:eastAsia="仿宋"/>
                <w:bCs/>
                <w:sz w:val="24"/>
                <w:szCs w:val="24"/>
              </w:rPr>
              <w:t>Yinjing Song, Xia Wu, Yaohan Xu, Jiang Zhu, Jiaying Li, Ziqi Zou, Luxia Chen, Boya Zhang, Chunting Hua, Han Rui, Qiaoli Zheng, Qiang Zhou, Qingqing Wang, Hao Cheng.</w:t>
            </w:r>
          </w:p>
          <w:p w14:paraId="177DDAB8">
            <w:pPr>
              <w:rPr>
                <w:rFonts w:ascii="仿宋" w:hAnsi="仿宋" w:eastAsia="仿宋"/>
                <w:bCs/>
                <w:sz w:val="24"/>
                <w:szCs w:val="24"/>
              </w:rPr>
            </w:pPr>
            <w:r>
              <w:rPr>
                <w:rFonts w:ascii="仿宋" w:hAnsi="仿宋" w:eastAsia="仿宋"/>
                <w:bCs/>
                <w:sz w:val="24"/>
                <w:szCs w:val="24"/>
              </w:rPr>
              <w:t>宋寅敬，吴霞，许瑶函，陈璐霞，张博雅，华春婷，韩睿，郑俏丽，周强，王青青，程浩</w:t>
            </w:r>
          </w:p>
        </w:tc>
        <w:tc>
          <w:tcPr>
            <w:tcW w:w="26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2CC534C">
            <w:pPr>
              <w:rPr>
                <w:rFonts w:ascii="仿宋" w:hAnsi="仿宋" w:eastAsia="仿宋"/>
                <w:bCs/>
                <w:sz w:val="24"/>
                <w:szCs w:val="24"/>
              </w:rPr>
            </w:pPr>
            <w:r>
              <w:rPr>
                <w:rFonts w:ascii="仿宋" w:hAnsi="仿宋" w:eastAsia="仿宋"/>
                <w:bCs/>
                <w:sz w:val="24"/>
                <w:szCs w:val="24"/>
              </w:rPr>
              <w:t>HPV E7 inhibits cell pyroptosis by promoting TRIM21-mediated degradation and ubiquitination of the IFI16 inflammasome./ Int J Biol Sci.</w:t>
            </w:r>
          </w:p>
        </w:tc>
        <w:tc>
          <w:tcPr>
            <w:tcW w:w="97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63AB6E">
            <w:pPr>
              <w:rPr>
                <w:rFonts w:ascii="仿宋" w:hAnsi="仿宋" w:eastAsia="仿宋"/>
                <w:bCs/>
                <w:sz w:val="24"/>
                <w:szCs w:val="24"/>
              </w:rPr>
            </w:pPr>
            <w:r>
              <w:rPr>
                <w:rFonts w:eastAsia="仿宋"/>
                <w:bCs/>
                <w:sz w:val="24"/>
                <w:szCs w:val="24"/>
              </w:rPr>
              <w:t> </w:t>
            </w:r>
            <w:r>
              <w:rPr>
                <w:rFonts w:ascii="仿宋" w:hAnsi="仿宋" w:eastAsia="仿宋"/>
                <w:bCs/>
                <w:sz w:val="24"/>
                <w:szCs w:val="24"/>
              </w:rPr>
              <w:t>2020; 16(15):2924-2937.</w:t>
            </w:r>
          </w:p>
        </w:tc>
        <w:tc>
          <w:tcPr>
            <w:tcW w:w="9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7803E2">
            <w:pPr>
              <w:rPr>
                <w:rFonts w:ascii="仿宋" w:hAnsi="仿宋" w:eastAsia="仿宋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/>
                <w:bCs/>
                <w:sz w:val="24"/>
                <w:szCs w:val="24"/>
              </w:rPr>
              <w:t>2</w:t>
            </w:r>
            <w:r>
              <w:rPr>
                <w:rFonts w:ascii="仿宋" w:hAnsi="仿宋" w:eastAsia="仿宋"/>
                <w:bCs/>
                <w:sz w:val="24"/>
                <w:szCs w:val="24"/>
              </w:rPr>
              <w:t>020.08</w:t>
            </w:r>
          </w:p>
        </w:tc>
        <w:tc>
          <w:tcPr>
            <w:tcW w:w="85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23D25A8">
            <w:pPr>
              <w:rPr>
                <w:rFonts w:ascii="仿宋" w:hAnsi="仿宋" w:eastAsia="仿宋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/>
                <w:bCs/>
                <w:sz w:val="24"/>
                <w:szCs w:val="24"/>
              </w:rPr>
              <w:t>68</w:t>
            </w:r>
          </w:p>
        </w:tc>
      </w:tr>
      <w:tr w14:paraId="06FA576F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2" w:hRule="exact"/>
          <w:jc w:val="center"/>
        </w:trPr>
        <w:tc>
          <w:tcPr>
            <w:tcW w:w="2589" w:type="dxa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E10EEA">
            <w:pPr>
              <w:rPr>
                <w:rFonts w:ascii="仿宋" w:hAnsi="仿宋" w:eastAsia="仿宋"/>
                <w:bCs/>
                <w:sz w:val="24"/>
                <w:szCs w:val="24"/>
              </w:rPr>
            </w:pPr>
            <w:r>
              <w:rPr>
                <w:rFonts w:ascii="仿宋" w:hAnsi="仿宋" w:eastAsia="仿宋"/>
                <w:bCs/>
                <w:sz w:val="24"/>
                <w:szCs w:val="24"/>
              </w:rPr>
              <w:t>Chunting Hua, Jiang Zhu, Boya Zhang, Siyuan Sun, Yinjing Song,</w:t>
            </w:r>
          </w:p>
          <w:p w14:paraId="399EB7E2">
            <w:pPr>
              <w:rPr>
                <w:rFonts w:hint="eastAsia" w:ascii="仿宋" w:hAnsi="仿宋" w:eastAsia="仿宋"/>
                <w:bCs/>
                <w:sz w:val="24"/>
                <w:szCs w:val="24"/>
              </w:rPr>
            </w:pPr>
            <w:r>
              <w:rPr>
                <w:rFonts w:ascii="仿宋" w:hAnsi="仿宋" w:eastAsia="仿宋"/>
                <w:bCs/>
                <w:sz w:val="24"/>
                <w:szCs w:val="24"/>
              </w:rPr>
              <w:t>Stijn van der Veen，Hao Cheng</w:t>
            </w:r>
          </w:p>
          <w:p w14:paraId="4696066A">
            <w:pPr>
              <w:rPr>
                <w:rFonts w:ascii="仿宋" w:hAnsi="仿宋" w:eastAsia="仿宋"/>
                <w:bCs/>
                <w:sz w:val="24"/>
                <w:szCs w:val="24"/>
              </w:rPr>
            </w:pPr>
            <w:r>
              <w:rPr>
                <w:rFonts w:ascii="仿宋" w:hAnsi="仿宋" w:eastAsia="仿宋"/>
                <w:bCs/>
                <w:sz w:val="24"/>
                <w:szCs w:val="24"/>
              </w:rPr>
              <w:t>华春婷，朱江，张博雅，孙思源，宋寅敬，</w:t>
            </w:r>
            <w:r>
              <w:rPr>
                <w:rFonts w:hint="eastAsia" w:ascii="仿宋" w:hAnsi="仿宋" w:eastAsia="仿宋"/>
                <w:bCs/>
                <w:sz w:val="24"/>
                <w:szCs w:val="24"/>
              </w:rPr>
              <w:t>Stijn van der Veen,程浩</w:t>
            </w:r>
          </w:p>
        </w:tc>
        <w:tc>
          <w:tcPr>
            <w:tcW w:w="26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7E9454">
            <w:pPr>
              <w:rPr>
                <w:rFonts w:ascii="仿宋" w:hAnsi="仿宋" w:eastAsia="仿宋"/>
                <w:bCs/>
                <w:sz w:val="24"/>
                <w:szCs w:val="24"/>
              </w:rPr>
            </w:pPr>
            <w:r>
              <w:rPr>
                <w:rFonts w:ascii="仿宋" w:hAnsi="仿宋" w:eastAsia="仿宋"/>
                <w:bCs/>
                <w:sz w:val="24"/>
                <w:szCs w:val="24"/>
              </w:rPr>
              <w:t>Digital RNA Sequencing of Human Epidermal Keratinocytes Carrying Human Papillomavirus Type 16 E7./ Frontiers in Genetics.</w:t>
            </w:r>
          </w:p>
          <w:p w14:paraId="36FEA7A7">
            <w:pPr>
              <w:rPr>
                <w:rFonts w:ascii="仿宋" w:hAnsi="仿宋" w:eastAsia="仿宋"/>
                <w:bCs/>
                <w:sz w:val="24"/>
                <w:szCs w:val="24"/>
              </w:rPr>
            </w:pPr>
          </w:p>
        </w:tc>
        <w:tc>
          <w:tcPr>
            <w:tcW w:w="97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2F56681">
            <w:pPr>
              <w:rPr>
                <w:rFonts w:ascii="仿宋" w:hAnsi="仿宋" w:eastAsia="仿宋"/>
                <w:bCs/>
                <w:sz w:val="24"/>
                <w:szCs w:val="24"/>
              </w:rPr>
            </w:pPr>
            <w:r>
              <w:rPr>
                <w:rFonts w:ascii="仿宋" w:hAnsi="仿宋" w:eastAsia="仿宋"/>
                <w:bCs/>
                <w:sz w:val="24"/>
                <w:szCs w:val="24"/>
              </w:rPr>
              <w:t>2020, 11: 819</w:t>
            </w:r>
          </w:p>
        </w:tc>
        <w:tc>
          <w:tcPr>
            <w:tcW w:w="9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5C7F5A">
            <w:pPr>
              <w:rPr>
                <w:rFonts w:ascii="仿宋" w:hAnsi="仿宋" w:eastAsia="仿宋"/>
                <w:bCs/>
                <w:sz w:val="24"/>
                <w:szCs w:val="24"/>
              </w:rPr>
            </w:pPr>
            <w:r>
              <w:rPr>
                <w:rFonts w:ascii="仿宋" w:hAnsi="仿宋" w:eastAsia="仿宋"/>
                <w:bCs/>
                <w:sz w:val="24"/>
                <w:szCs w:val="24"/>
              </w:rPr>
              <w:t>2020.8</w:t>
            </w:r>
          </w:p>
        </w:tc>
        <w:tc>
          <w:tcPr>
            <w:tcW w:w="85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D6E2E4">
            <w:pPr>
              <w:rPr>
                <w:rFonts w:ascii="仿宋" w:hAnsi="仿宋" w:eastAsia="仿宋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/>
                <w:bCs/>
                <w:sz w:val="24"/>
                <w:szCs w:val="24"/>
              </w:rPr>
              <w:t>10</w:t>
            </w:r>
          </w:p>
        </w:tc>
      </w:tr>
      <w:tr w14:paraId="17682D75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10" w:hRule="exact"/>
          <w:jc w:val="center"/>
        </w:trPr>
        <w:tc>
          <w:tcPr>
            <w:tcW w:w="2589" w:type="dxa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85F805">
            <w:pPr>
              <w:rPr>
                <w:rFonts w:hint="eastAsia" w:ascii="仿宋" w:hAnsi="仿宋" w:eastAsia="仿宋"/>
                <w:bCs/>
                <w:sz w:val="24"/>
                <w:szCs w:val="24"/>
              </w:rPr>
            </w:pPr>
            <w:r>
              <w:rPr>
                <w:rFonts w:ascii="仿宋" w:hAnsi="仿宋" w:eastAsia="仿宋"/>
                <w:bCs/>
                <w:sz w:val="24"/>
                <w:szCs w:val="24"/>
              </w:rPr>
              <w:t>Tuan Wang, Xia Wu, Mus'ab Al rudaisat, Yinjing Song, Hao Cheng</w:t>
            </w:r>
          </w:p>
          <w:p w14:paraId="751C23B1">
            <w:pPr>
              <w:rPr>
                <w:rFonts w:ascii="仿宋" w:hAnsi="仿宋" w:eastAsia="仿宋"/>
                <w:bCs/>
                <w:sz w:val="24"/>
                <w:szCs w:val="24"/>
              </w:rPr>
            </w:pPr>
            <w:r>
              <w:rPr>
                <w:rFonts w:ascii="仿宋" w:hAnsi="仿宋" w:eastAsia="仿宋"/>
                <w:bCs/>
                <w:sz w:val="24"/>
                <w:szCs w:val="24"/>
              </w:rPr>
              <w:t>王湍，吴霞，牧沙，宋寅敬，程浩</w:t>
            </w:r>
          </w:p>
        </w:tc>
        <w:tc>
          <w:tcPr>
            <w:tcW w:w="26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366AB7">
            <w:pPr>
              <w:rPr>
                <w:rFonts w:ascii="仿宋" w:hAnsi="仿宋" w:eastAsia="仿宋"/>
                <w:bCs/>
                <w:sz w:val="24"/>
                <w:szCs w:val="24"/>
              </w:rPr>
            </w:pPr>
            <w:r>
              <w:rPr>
                <w:rFonts w:ascii="仿宋" w:hAnsi="仿宋" w:eastAsia="仿宋"/>
                <w:bCs/>
                <w:sz w:val="24"/>
                <w:szCs w:val="24"/>
              </w:rPr>
              <w:t>Curcumin induces G2/M arrest and triggers autophagy, ROS generation and cell senescence in cervical cancer cells / J Cancer.</w:t>
            </w:r>
          </w:p>
        </w:tc>
        <w:tc>
          <w:tcPr>
            <w:tcW w:w="97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F9CDED">
            <w:pPr>
              <w:rPr>
                <w:rFonts w:ascii="仿宋" w:hAnsi="仿宋" w:eastAsia="仿宋"/>
                <w:bCs/>
                <w:sz w:val="24"/>
                <w:szCs w:val="24"/>
              </w:rPr>
            </w:pPr>
            <w:r>
              <w:rPr>
                <w:rFonts w:ascii="仿宋" w:hAnsi="仿宋" w:eastAsia="仿宋"/>
                <w:bCs/>
                <w:sz w:val="24"/>
                <w:szCs w:val="24"/>
              </w:rPr>
              <w:t>2020，25;11(22):6704-6715.</w:t>
            </w:r>
          </w:p>
        </w:tc>
        <w:tc>
          <w:tcPr>
            <w:tcW w:w="9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9B1F70">
            <w:pPr>
              <w:rPr>
                <w:rFonts w:ascii="仿宋" w:hAnsi="仿宋" w:eastAsia="仿宋"/>
                <w:bCs/>
                <w:sz w:val="24"/>
                <w:szCs w:val="24"/>
              </w:rPr>
            </w:pPr>
            <w:r>
              <w:rPr>
                <w:rFonts w:ascii="仿宋" w:hAnsi="仿宋" w:eastAsia="仿宋"/>
                <w:bCs/>
                <w:sz w:val="24"/>
                <w:szCs w:val="24"/>
              </w:rPr>
              <w:t>2020.09</w:t>
            </w:r>
          </w:p>
        </w:tc>
        <w:tc>
          <w:tcPr>
            <w:tcW w:w="85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EA6DA2">
            <w:pPr>
              <w:rPr>
                <w:rFonts w:ascii="仿宋" w:hAnsi="仿宋" w:eastAsia="仿宋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/>
                <w:bCs/>
                <w:sz w:val="24"/>
                <w:szCs w:val="24"/>
              </w:rPr>
              <w:t>74</w:t>
            </w:r>
          </w:p>
        </w:tc>
      </w:tr>
      <w:tr w14:paraId="6EB6460B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84" w:hRule="exact"/>
          <w:jc w:val="center"/>
        </w:trPr>
        <w:tc>
          <w:tcPr>
            <w:tcW w:w="2589" w:type="dxa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1F527C">
            <w:pPr>
              <w:rPr>
                <w:rFonts w:hint="eastAsia" w:ascii="仿宋" w:hAnsi="仿宋" w:eastAsia="仿宋"/>
                <w:bCs/>
                <w:sz w:val="24"/>
                <w:szCs w:val="24"/>
              </w:rPr>
            </w:pPr>
            <w:r>
              <w:rPr>
                <w:rFonts w:ascii="仿宋" w:hAnsi="仿宋" w:eastAsia="仿宋"/>
                <w:bCs/>
                <w:sz w:val="24"/>
                <w:szCs w:val="24"/>
              </w:rPr>
              <w:t>Chunting, Hua;  Qiaoli, Zheng;  Jiang, Zhu;  Siji, Chen;  Yinjing, Song;  Stijn, van der Veen;  Hao, Cheng</w:t>
            </w:r>
          </w:p>
          <w:p w14:paraId="19A92F5A">
            <w:pPr>
              <w:rPr>
                <w:rFonts w:ascii="仿宋" w:hAnsi="仿宋" w:eastAsia="仿宋"/>
                <w:bCs/>
                <w:sz w:val="24"/>
                <w:szCs w:val="24"/>
              </w:rPr>
            </w:pPr>
            <w:r>
              <w:rPr>
                <w:rFonts w:ascii="仿宋" w:hAnsi="仿宋" w:eastAsia="仿宋"/>
                <w:bCs/>
                <w:sz w:val="24"/>
                <w:szCs w:val="24"/>
              </w:rPr>
              <w:t>华春婷，郑俏丽，朱江，陈思吉，宋寅敬，</w:t>
            </w:r>
            <w:r>
              <w:rPr>
                <w:rFonts w:hint="eastAsia" w:ascii="仿宋" w:hAnsi="仿宋" w:eastAsia="仿宋"/>
                <w:bCs/>
                <w:sz w:val="24"/>
                <w:szCs w:val="24"/>
              </w:rPr>
              <w:t>Stijn van der Veen,程浩</w:t>
            </w:r>
          </w:p>
        </w:tc>
        <w:tc>
          <w:tcPr>
            <w:tcW w:w="26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6A582B">
            <w:pPr>
              <w:rPr>
                <w:rFonts w:ascii="仿宋" w:hAnsi="仿宋" w:eastAsia="仿宋"/>
                <w:bCs/>
                <w:sz w:val="24"/>
                <w:szCs w:val="24"/>
              </w:rPr>
            </w:pPr>
            <w:r>
              <w:rPr>
                <w:rFonts w:ascii="仿宋" w:hAnsi="仿宋" w:eastAsia="仿宋"/>
                <w:bCs/>
                <w:sz w:val="24"/>
                <w:szCs w:val="24"/>
              </w:rPr>
              <w:t>Human Papillomavirus Type 16 Early Protein E7 Activates Autophagy through Inhibition of Dual-Specificity Phosphatase 5.</w:t>
            </w:r>
            <w:r>
              <w:rPr>
                <w:rFonts w:hint="eastAsia" w:ascii="仿宋" w:hAnsi="仿宋" w:eastAsia="仿宋"/>
                <w:bCs/>
                <w:sz w:val="24"/>
                <w:szCs w:val="24"/>
              </w:rPr>
              <w:t>/</w:t>
            </w:r>
            <w:r>
              <w:rPr>
                <w:rFonts w:ascii="仿宋" w:hAnsi="仿宋" w:eastAsia="仿宋"/>
                <w:bCs/>
                <w:sz w:val="24"/>
                <w:szCs w:val="24"/>
              </w:rPr>
              <w:t xml:space="preserve"> Oxid Med Cell Longev</w:t>
            </w:r>
          </w:p>
        </w:tc>
        <w:tc>
          <w:tcPr>
            <w:tcW w:w="97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27CCCE">
            <w:pPr>
              <w:rPr>
                <w:rFonts w:ascii="仿宋" w:hAnsi="仿宋" w:eastAsia="仿宋"/>
                <w:bCs/>
                <w:sz w:val="24"/>
                <w:szCs w:val="24"/>
              </w:rPr>
            </w:pPr>
            <w:r>
              <w:rPr>
                <w:rFonts w:ascii="仿宋" w:hAnsi="仿宋" w:eastAsia="仿宋"/>
                <w:bCs/>
                <w:sz w:val="24"/>
                <w:szCs w:val="24"/>
              </w:rPr>
              <w:t>2022;2022(0):1863098</w:t>
            </w:r>
          </w:p>
        </w:tc>
        <w:tc>
          <w:tcPr>
            <w:tcW w:w="9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BFDE99">
            <w:pPr>
              <w:jc w:val="right"/>
              <w:rPr>
                <w:rFonts w:ascii="仿宋" w:hAnsi="仿宋" w:eastAsia="仿宋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/>
                <w:bCs/>
                <w:sz w:val="24"/>
                <w:szCs w:val="24"/>
              </w:rPr>
              <w:t>2022.3</w:t>
            </w:r>
          </w:p>
        </w:tc>
        <w:tc>
          <w:tcPr>
            <w:tcW w:w="85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763EF5">
            <w:pPr>
              <w:jc w:val="right"/>
              <w:rPr>
                <w:rFonts w:ascii="仿宋" w:hAnsi="仿宋" w:eastAsia="仿宋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/>
                <w:bCs/>
                <w:sz w:val="24"/>
                <w:szCs w:val="24"/>
              </w:rPr>
              <w:t>4</w:t>
            </w:r>
          </w:p>
        </w:tc>
      </w:tr>
      <w:tr w14:paraId="72E22266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2" w:hRule="exact"/>
          <w:jc w:val="center"/>
        </w:trPr>
        <w:tc>
          <w:tcPr>
            <w:tcW w:w="7245" w:type="dxa"/>
            <w:gridSpan w:val="4"/>
            <w:tcBorders>
              <w:top w:val="single" w:color="auto" w:sz="6" w:space="0"/>
              <w:left w:val="single" w:color="auto" w:sz="12" w:space="0"/>
              <w:bottom w:val="single" w:color="auto" w:sz="12" w:space="0"/>
              <w:right w:val="single" w:color="auto" w:sz="6" w:space="0"/>
            </w:tcBorders>
            <w:vAlign w:val="center"/>
          </w:tcPr>
          <w:p w14:paraId="550937BC">
            <w:pPr>
              <w:jc w:val="right"/>
              <w:rPr>
                <w:rFonts w:ascii="仿宋" w:hAnsi="仿宋" w:eastAsia="仿宋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/>
                <w:bCs/>
                <w:sz w:val="24"/>
                <w:szCs w:val="24"/>
              </w:rPr>
              <w:t>合  计:</w:t>
            </w:r>
          </w:p>
        </w:tc>
        <w:tc>
          <w:tcPr>
            <w:tcW w:w="850" w:type="dxa"/>
            <w:tcBorders>
              <w:top w:val="single" w:color="auto" w:sz="6" w:space="0"/>
              <w:left w:val="single" w:color="auto" w:sz="6" w:space="0"/>
              <w:bottom w:val="single" w:color="auto" w:sz="12" w:space="0"/>
              <w:right w:val="single" w:color="auto" w:sz="6" w:space="0"/>
            </w:tcBorders>
            <w:vAlign w:val="center"/>
          </w:tcPr>
          <w:p w14:paraId="700ED0E4">
            <w:pPr>
              <w:jc w:val="right"/>
              <w:rPr>
                <w:rFonts w:ascii="仿宋" w:hAnsi="仿宋" w:eastAsia="仿宋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/>
                <w:bCs/>
                <w:sz w:val="24"/>
                <w:szCs w:val="24"/>
              </w:rPr>
              <w:t>207</w:t>
            </w:r>
          </w:p>
        </w:tc>
      </w:tr>
    </w:tbl>
    <w:p w14:paraId="13241837">
      <w:pPr>
        <w:adjustRightInd w:val="0"/>
        <w:snapToGrid w:val="0"/>
        <w:spacing w:line="560" w:lineRule="exact"/>
        <w:rPr>
          <w:rFonts w:ascii="仿宋" w:hAnsi="仿宋" w:eastAsia="仿宋"/>
          <w:bCs/>
          <w:sz w:val="24"/>
          <w:szCs w:val="24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93F1101F-52B4-4388-BF62-405B9DB5CD0E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891E3BC2-2FA1-42B6-9ECE-A1B92565FA54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A47D0A33-3F85-485C-9FE6-741561A5032E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A2640A45-D235-42B2-8473-8AF0915F27ED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3FAE8BA1-37E8-431F-BA5E-2AD618D4E0B4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6" w:fontKey="{041FADD4-82B9-431A-99AF-E4F912BCDD75}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  <w:embedRegular r:id="rId7" w:fontKey="{9BE2600F-98A9-4CE4-9813-8E463C77A412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方正仿宋简体">
    <w:altName w:val="微软雅黑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方正小标宋简体">
    <w:altName w:val="Arial Unicode MS"/>
    <w:panose1 w:val="00000000000000000000"/>
    <w:charset w:val="86"/>
    <w:family w:val="script"/>
    <w:pitch w:val="default"/>
    <w:sig w:usb0="00000000" w:usb1="00000000" w:usb2="00000000" w:usb3="00000000" w:csb0="00040000" w:csb1="00000000"/>
    <w:embedRegular r:id="rId8" w:fontKey="{E7599664-BBD7-4956-A4CD-C764936F1DFD}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9" w:fontKey="{DD76991E-DF45-4254-B149-4A346C0F235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276286816"/>
    </w:sdtPr>
    <w:sdtEndPr>
      <w:rPr>
        <w:sz w:val="21"/>
        <w:szCs w:val="21"/>
      </w:rPr>
    </w:sdtEndPr>
    <w:sdtContent>
      <w:p w14:paraId="28A02719">
        <w:pPr>
          <w:pStyle w:val="9"/>
          <w:jc w:val="center"/>
          <w:rPr>
            <w:sz w:val="21"/>
            <w:szCs w:val="21"/>
          </w:rPr>
        </w:pPr>
        <w:r>
          <w:rPr>
            <w:sz w:val="21"/>
            <w:szCs w:val="21"/>
          </w:rPr>
          <w:fldChar w:fldCharType="begin"/>
        </w:r>
        <w:r>
          <w:rPr>
            <w:sz w:val="21"/>
            <w:szCs w:val="21"/>
          </w:rPr>
          <w:instrText xml:space="preserve">PAGE   \* MERGEFORMAT</w:instrText>
        </w:r>
        <w:r>
          <w:rPr>
            <w:sz w:val="21"/>
            <w:szCs w:val="21"/>
          </w:rPr>
          <w:fldChar w:fldCharType="separate"/>
        </w:r>
        <w:r>
          <w:rPr>
            <w:sz w:val="21"/>
            <w:szCs w:val="21"/>
            <w:lang w:val="zh-CN"/>
          </w:rPr>
          <w:t>2</w:t>
        </w:r>
        <w:r>
          <w:rPr>
            <w:sz w:val="21"/>
            <w:szCs w:val="21"/>
          </w:rPr>
          <w:fldChar w:fldCharType="end"/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9442DE8">
    <w:pPr>
      <w:ind w:left="420" w:hanging="42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TrueTypeFonts/>
  <w:bordersDoNotSurroundHeader w:val="1"/>
  <w:bordersDoNotSurroundFooter w:val="1"/>
  <w:hideSpellingErrors/>
  <w:documentProtection w:enforcement="0"/>
  <w:defaultTabStop w:val="420"/>
  <w:drawingGridHorizontalSpacing w:val="105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N2JhNDgxZDBiYzczNDM2YjM1OGQzM2RlOTYzN2FiZTQifQ=="/>
    <w:docVar w:name="KSO_WPS_MARK_KEY" w:val="02f6fdb2-0872-4f38-94b1-cc8e195e9e73"/>
  </w:docVars>
  <w:rsids>
    <w:rsidRoot w:val="007C28FF"/>
    <w:rsid w:val="000054F8"/>
    <w:rsid w:val="00006056"/>
    <w:rsid w:val="00007BBE"/>
    <w:rsid w:val="000165DC"/>
    <w:rsid w:val="00031E44"/>
    <w:rsid w:val="00033288"/>
    <w:rsid w:val="0004004D"/>
    <w:rsid w:val="00051BE3"/>
    <w:rsid w:val="00053F24"/>
    <w:rsid w:val="0006546D"/>
    <w:rsid w:val="00067E32"/>
    <w:rsid w:val="000819AF"/>
    <w:rsid w:val="00083906"/>
    <w:rsid w:val="000847FC"/>
    <w:rsid w:val="000929AE"/>
    <w:rsid w:val="000A0FE4"/>
    <w:rsid w:val="000B70B3"/>
    <w:rsid w:val="000C632A"/>
    <w:rsid w:val="000F1229"/>
    <w:rsid w:val="000F2CC3"/>
    <w:rsid w:val="000F6066"/>
    <w:rsid w:val="000F6517"/>
    <w:rsid w:val="000F6B39"/>
    <w:rsid w:val="000F7732"/>
    <w:rsid w:val="001039E9"/>
    <w:rsid w:val="00104F03"/>
    <w:rsid w:val="0012430D"/>
    <w:rsid w:val="001435CC"/>
    <w:rsid w:val="001446BB"/>
    <w:rsid w:val="00153E23"/>
    <w:rsid w:val="00154376"/>
    <w:rsid w:val="001553CE"/>
    <w:rsid w:val="001614FC"/>
    <w:rsid w:val="00165962"/>
    <w:rsid w:val="0017168F"/>
    <w:rsid w:val="00172167"/>
    <w:rsid w:val="001829B2"/>
    <w:rsid w:val="00185449"/>
    <w:rsid w:val="00192701"/>
    <w:rsid w:val="0019371C"/>
    <w:rsid w:val="001A5554"/>
    <w:rsid w:val="001A55E6"/>
    <w:rsid w:val="001B0C22"/>
    <w:rsid w:val="001B454D"/>
    <w:rsid w:val="001C4D6D"/>
    <w:rsid w:val="001C785A"/>
    <w:rsid w:val="001D3908"/>
    <w:rsid w:val="001F032B"/>
    <w:rsid w:val="001F2C76"/>
    <w:rsid w:val="001F7F40"/>
    <w:rsid w:val="00212129"/>
    <w:rsid w:val="00213CE9"/>
    <w:rsid w:val="0021734C"/>
    <w:rsid w:val="00217ACE"/>
    <w:rsid w:val="002242B0"/>
    <w:rsid w:val="002246A0"/>
    <w:rsid w:val="002247F4"/>
    <w:rsid w:val="00230FE9"/>
    <w:rsid w:val="0023223F"/>
    <w:rsid w:val="00244749"/>
    <w:rsid w:val="00247A49"/>
    <w:rsid w:val="00251808"/>
    <w:rsid w:val="002579D1"/>
    <w:rsid w:val="002745F8"/>
    <w:rsid w:val="00283031"/>
    <w:rsid w:val="0029509E"/>
    <w:rsid w:val="00296134"/>
    <w:rsid w:val="002A2925"/>
    <w:rsid w:val="002A7955"/>
    <w:rsid w:val="002B3198"/>
    <w:rsid w:val="002C6803"/>
    <w:rsid w:val="002C6E65"/>
    <w:rsid w:val="002D1FA7"/>
    <w:rsid w:val="002D3BA3"/>
    <w:rsid w:val="002E42A8"/>
    <w:rsid w:val="002E43DB"/>
    <w:rsid w:val="002F1911"/>
    <w:rsid w:val="002F74D2"/>
    <w:rsid w:val="0030543F"/>
    <w:rsid w:val="003063D6"/>
    <w:rsid w:val="00311F89"/>
    <w:rsid w:val="003125EF"/>
    <w:rsid w:val="00326352"/>
    <w:rsid w:val="00330554"/>
    <w:rsid w:val="00331B99"/>
    <w:rsid w:val="00336678"/>
    <w:rsid w:val="00340314"/>
    <w:rsid w:val="00343DF4"/>
    <w:rsid w:val="00347614"/>
    <w:rsid w:val="00356B8A"/>
    <w:rsid w:val="00363C7E"/>
    <w:rsid w:val="00370977"/>
    <w:rsid w:val="00377C1C"/>
    <w:rsid w:val="00382214"/>
    <w:rsid w:val="00382EDD"/>
    <w:rsid w:val="00386D85"/>
    <w:rsid w:val="003A03B5"/>
    <w:rsid w:val="003A08CF"/>
    <w:rsid w:val="003A343A"/>
    <w:rsid w:val="003A466E"/>
    <w:rsid w:val="003A5D0E"/>
    <w:rsid w:val="003A60A7"/>
    <w:rsid w:val="003B0906"/>
    <w:rsid w:val="003B2A50"/>
    <w:rsid w:val="003B3345"/>
    <w:rsid w:val="003C1234"/>
    <w:rsid w:val="003C4124"/>
    <w:rsid w:val="003E2311"/>
    <w:rsid w:val="003E6BFB"/>
    <w:rsid w:val="003F0278"/>
    <w:rsid w:val="003F1E9D"/>
    <w:rsid w:val="003F76A0"/>
    <w:rsid w:val="00401E30"/>
    <w:rsid w:val="004179C8"/>
    <w:rsid w:val="00427A6E"/>
    <w:rsid w:val="004300EE"/>
    <w:rsid w:val="00442705"/>
    <w:rsid w:val="00444A55"/>
    <w:rsid w:val="0044700B"/>
    <w:rsid w:val="0044760A"/>
    <w:rsid w:val="00453528"/>
    <w:rsid w:val="00453C0E"/>
    <w:rsid w:val="00461A90"/>
    <w:rsid w:val="00465DD7"/>
    <w:rsid w:val="004820BD"/>
    <w:rsid w:val="00484A1D"/>
    <w:rsid w:val="00484D69"/>
    <w:rsid w:val="004929AC"/>
    <w:rsid w:val="00492EAC"/>
    <w:rsid w:val="004A6419"/>
    <w:rsid w:val="004B531C"/>
    <w:rsid w:val="004C2337"/>
    <w:rsid w:val="004D3106"/>
    <w:rsid w:val="004D55B5"/>
    <w:rsid w:val="004E0565"/>
    <w:rsid w:val="004E11C6"/>
    <w:rsid w:val="004E36AB"/>
    <w:rsid w:val="004F503B"/>
    <w:rsid w:val="004F551A"/>
    <w:rsid w:val="005002DF"/>
    <w:rsid w:val="00500EBD"/>
    <w:rsid w:val="00504232"/>
    <w:rsid w:val="00510C66"/>
    <w:rsid w:val="00511F4B"/>
    <w:rsid w:val="0051372C"/>
    <w:rsid w:val="00521ED7"/>
    <w:rsid w:val="00526964"/>
    <w:rsid w:val="00532D5A"/>
    <w:rsid w:val="005354E4"/>
    <w:rsid w:val="00536952"/>
    <w:rsid w:val="00552729"/>
    <w:rsid w:val="005663D6"/>
    <w:rsid w:val="00570701"/>
    <w:rsid w:val="0057414B"/>
    <w:rsid w:val="0057576E"/>
    <w:rsid w:val="0058367D"/>
    <w:rsid w:val="00586D66"/>
    <w:rsid w:val="005A0877"/>
    <w:rsid w:val="005A17EC"/>
    <w:rsid w:val="005A1A1D"/>
    <w:rsid w:val="005A485B"/>
    <w:rsid w:val="005A6276"/>
    <w:rsid w:val="005A6B7D"/>
    <w:rsid w:val="005B5550"/>
    <w:rsid w:val="005B65F0"/>
    <w:rsid w:val="005D2A14"/>
    <w:rsid w:val="005D36E9"/>
    <w:rsid w:val="005E0059"/>
    <w:rsid w:val="005E261D"/>
    <w:rsid w:val="005E3EA3"/>
    <w:rsid w:val="005E49A6"/>
    <w:rsid w:val="005E6D32"/>
    <w:rsid w:val="005F0DC8"/>
    <w:rsid w:val="00600FA4"/>
    <w:rsid w:val="00605720"/>
    <w:rsid w:val="00611BDC"/>
    <w:rsid w:val="006177DC"/>
    <w:rsid w:val="00623BD2"/>
    <w:rsid w:val="00626265"/>
    <w:rsid w:val="006269F8"/>
    <w:rsid w:val="00642EBC"/>
    <w:rsid w:val="00643B2E"/>
    <w:rsid w:val="00646AD1"/>
    <w:rsid w:val="00670053"/>
    <w:rsid w:val="00673E71"/>
    <w:rsid w:val="006823DB"/>
    <w:rsid w:val="00692309"/>
    <w:rsid w:val="00694DDB"/>
    <w:rsid w:val="006A1E31"/>
    <w:rsid w:val="006A390F"/>
    <w:rsid w:val="006A580A"/>
    <w:rsid w:val="006B34CD"/>
    <w:rsid w:val="006C528F"/>
    <w:rsid w:val="006C691E"/>
    <w:rsid w:val="006C6CA7"/>
    <w:rsid w:val="006D59C3"/>
    <w:rsid w:val="006E4386"/>
    <w:rsid w:val="006E5310"/>
    <w:rsid w:val="006F0C81"/>
    <w:rsid w:val="006F5EED"/>
    <w:rsid w:val="006F7780"/>
    <w:rsid w:val="007116D0"/>
    <w:rsid w:val="00725CE5"/>
    <w:rsid w:val="0073019F"/>
    <w:rsid w:val="00734046"/>
    <w:rsid w:val="007353C3"/>
    <w:rsid w:val="00735560"/>
    <w:rsid w:val="00736027"/>
    <w:rsid w:val="007370E0"/>
    <w:rsid w:val="007466B8"/>
    <w:rsid w:val="00751448"/>
    <w:rsid w:val="00751A09"/>
    <w:rsid w:val="0075383C"/>
    <w:rsid w:val="00754147"/>
    <w:rsid w:val="00756C08"/>
    <w:rsid w:val="00756D75"/>
    <w:rsid w:val="00760A58"/>
    <w:rsid w:val="00763073"/>
    <w:rsid w:val="0076560D"/>
    <w:rsid w:val="00767A99"/>
    <w:rsid w:val="00784D44"/>
    <w:rsid w:val="00793C8C"/>
    <w:rsid w:val="00793E7F"/>
    <w:rsid w:val="007940D2"/>
    <w:rsid w:val="00794B04"/>
    <w:rsid w:val="0079610B"/>
    <w:rsid w:val="00797739"/>
    <w:rsid w:val="007A5E60"/>
    <w:rsid w:val="007B0382"/>
    <w:rsid w:val="007B7CAA"/>
    <w:rsid w:val="007C28FF"/>
    <w:rsid w:val="007C5AC5"/>
    <w:rsid w:val="007D26E7"/>
    <w:rsid w:val="007D58D1"/>
    <w:rsid w:val="007D68D7"/>
    <w:rsid w:val="007E17CF"/>
    <w:rsid w:val="007F5A15"/>
    <w:rsid w:val="0080157D"/>
    <w:rsid w:val="00813788"/>
    <w:rsid w:val="0082227E"/>
    <w:rsid w:val="00822B10"/>
    <w:rsid w:val="00823F06"/>
    <w:rsid w:val="00832862"/>
    <w:rsid w:val="00832F6E"/>
    <w:rsid w:val="00832F80"/>
    <w:rsid w:val="00833452"/>
    <w:rsid w:val="008340DD"/>
    <w:rsid w:val="00834CE8"/>
    <w:rsid w:val="0083551E"/>
    <w:rsid w:val="00845A89"/>
    <w:rsid w:val="00845F36"/>
    <w:rsid w:val="008527A7"/>
    <w:rsid w:val="00853603"/>
    <w:rsid w:val="008550E7"/>
    <w:rsid w:val="00856D92"/>
    <w:rsid w:val="00866267"/>
    <w:rsid w:val="008666C1"/>
    <w:rsid w:val="00866773"/>
    <w:rsid w:val="008706BC"/>
    <w:rsid w:val="00872CCF"/>
    <w:rsid w:val="00890A44"/>
    <w:rsid w:val="00891DDA"/>
    <w:rsid w:val="00894724"/>
    <w:rsid w:val="008A09D1"/>
    <w:rsid w:val="008A1590"/>
    <w:rsid w:val="008A37FE"/>
    <w:rsid w:val="008B5F0B"/>
    <w:rsid w:val="008B78AD"/>
    <w:rsid w:val="008C37F3"/>
    <w:rsid w:val="008C5BE5"/>
    <w:rsid w:val="008C7FED"/>
    <w:rsid w:val="008D4556"/>
    <w:rsid w:val="008F65C4"/>
    <w:rsid w:val="0090595F"/>
    <w:rsid w:val="0090670A"/>
    <w:rsid w:val="00906781"/>
    <w:rsid w:val="009211BA"/>
    <w:rsid w:val="00922838"/>
    <w:rsid w:val="009339E2"/>
    <w:rsid w:val="00942CCA"/>
    <w:rsid w:val="00945930"/>
    <w:rsid w:val="00947118"/>
    <w:rsid w:val="009529F5"/>
    <w:rsid w:val="009572C9"/>
    <w:rsid w:val="009607CA"/>
    <w:rsid w:val="0096088C"/>
    <w:rsid w:val="009728CB"/>
    <w:rsid w:val="00975273"/>
    <w:rsid w:val="009764E0"/>
    <w:rsid w:val="0098148B"/>
    <w:rsid w:val="00983F16"/>
    <w:rsid w:val="00984A71"/>
    <w:rsid w:val="00985B39"/>
    <w:rsid w:val="009866EC"/>
    <w:rsid w:val="0099382A"/>
    <w:rsid w:val="00994C12"/>
    <w:rsid w:val="009A3A67"/>
    <w:rsid w:val="009D1070"/>
    <w:rsid w:val="009D2804"/>
    <w:rsid w:val="009D3350"/>
    <w:rsid w:val="009D66DD"/>
    <w:rsid w:val="009E2CCF"/>
    <w:rsid w:val="009F0766"/>
    <w:rsid w:val="009F19B6"/>
    <w:rsid w:val="009F4B40"/>
    <w:rsid w:val="00A03853"/>
    <w:rsid w:val="00A11F99"/>
    <w:rsid w:val="00A156D9"/>
    <w:rsid w:val="00A243BC"/>
    <w:rsid w:val="00A27943"/>
    <w:rsid w:val="00A31D43"/>
    <w:rsid w:val="00A36061"/>
    <w:rsid w:val="00A402C6"/>
    <w:rsid w:val="00A5008B"/>
    <w:rsid w:val="00A65CD4"/>
    <w:rsid w:val="00A70F4C"/>
    <w:rsid w:val="00A736E3"/>
    <w:rsid w:val="00AA6478"/>
    <w:rsid w:val="00AA6A67"/>
    <w:rsid w:val="00AB2670"/>
    <w:rsid w:val="00AB2B0F"/>
    <w:rsid w:val="00AC096E"/>
    <w:rsid w:val="00AC5736"/>
    <w:rsid w:val="00AC69B7"/>
    <w:rsid w:val="00AC7691"/>
    <w:rsid w:val="00AD689E"/>
    <w:rsid w:val="00AD7D6F"/>
    <w:rsid w:val="00AE5A16"/>
    <w:rsid w:val="00AF0A71"/>
    <w:rsid w:val="00AF2833"/>
    <w:rsid w:val="00AF2A0E"/>
    <w:rsid w:val="00B03355"/>
    <w:rsid w:val="00B0469B"/>
    <w:rsid w:val="00B127DF"/>
    <w:rsid w:val="00B14566"/>
    <w:rsid w:val="00B237EB"/>
    <w:rsid w:val="00B24D94"/>
    <w:rsid w:val="00B268E1"/>
    <w:rsid w:val="00B269D7"/>
    <w:rsid w:val="00B303C2"/>
    <w:rsid w:val="00B362C3"/>
    <w:rsid w:val="00B43F7F"/>
    <w:rsid w:val="00B63A00"/>
    <w:rsid w:val="00B651CC"/>
    <w:rsid w:val="00B73F27"/>
    <w:rsid w:val="00B74C14"/>
    <w:rsid w:val="00B865D4"/>
    <w:rsid w:val="00B92BAD"/>
    <w:rsid w:val="00B9520A"/>
    <w:rsid w:val="00B979F5"/>
    <w:rsid w:val="00BA07A7"/>
    <w:rsid w:val="00BA3056"/>
    <w:rsid w:val="00BB47F3"/>
    <w:rsid w:val="00BD0ED0"/>
    <w:rsid w:val="00BE7259"/>
    <w:rsid w:val="00C10571"/>
    <w:rsid w:val="00C24E7B"/>
    <w:rsid w:val="00C36E42"/>
    <w:rsid w:val="00C51DAF"/>
    <w:rsid w:val="00C52425"/>
    <w:rsid w:val="00C555AC"/>
    <w:rsid w:val="00C56CDE"/>
    <w:rsid w:val="00C5764E"/>
    <w:rsid w:val="00C64274"/>
    <w:rsid w:val="00C65487"/>
    <w:rsid w:val="00C65987"/>
    <w:rsid w:val="00C74F01"/>
    <w:rsid w:val="00C83D98"/>
    <w:rsid w:val="00C87EB0"/>
    <w:rsid w:val="00C9140D"/>
    <w:rsid w:val="00C92139"/>
    <w:rsid w:val="00C94906"/>
    <w:rsid w:val="00CA0830"/>
    <w:rsid w:val="00CA08E7"/>
    <w:rsid w:val="00CA0BB3"/>
    <w:rsid w:val="00CB7617"/>
    <w:rsid w:val="00CC2CF9"/>
    <w:rsid w:val="00CC55CE"/>
    <w:rsid w:val="00CD3458"/>
    <w:rsid w:val="00CE7048"/>
    <w:rsid w:val="00CF0ED4"/>
    <w:rsid w:val="00CF10A0"/>
    <w:rsid w:val="00D043A5"/>
    <w:rsid w:val="00D06294"/>
    <w:rsid w:val="00D170C8"/>
    <w:rsid w:val="00D20CA5"/>
    <w:rsid w:val="00D22F7F"/>
    <w:rsid w:val="00D23039"/>
    <w:rsid w:val="00D27104"/>
    <w:rsid w:val="00D35DA8"/>
    <w:rsid w:val="00D41A51"/>
    <w:rsid w:val="00D4719D"/>
    <w:rsid w:val="00D47863"/>
    <w:rsid w:val="00D51301"/>
    <w:rsid w:val="00D619CB"/>
    <w:rsid w:val="00D66E92"/>
    <w:rsid w:val="00D75966"/>
    <w:rsid w:val="00D76DA8"/>
    <w:rsid w:val="00D76EB9"/>
    <w:rsid w:val="00D97840"/>
    <w:rsid w:val="00DC0F80"/>
    <w:rsid w:val="00DC1C67"/>
    <w:rsid w:val="00DD7D0E"/>
    <w:rsid w:val="00DF02D4"/>
    <w:rsid w:val="00DF2AD8"/>
    <w:rsid w:val="00DF7FCB"/>
    <w:rsid w:val="00E066BD"/>
    <w:rsid w:val="00E1736F"/>
    <w:rsid w:val="00E17FF5"/>
    <w:rsid w:val="00E26009"/>
    <w:rsid w:val="00E3162A"/>
    <w:rsid w:val="00E37C85"/>
    <w:rsid w:val="00E407C9"/>
    <w:rsid w:val="00E46BD6"/>
    <w:rsid w:val="00E51E6D"/>
    <w:rsid w:val="00E5280E"/>
    <w:rsid w:val="00E5401A"/>
    <w:rsid w:val="00E55EDB"/>
    <w:rsid w:val="00E56172"/>
    <w:rsid w:val="00E60002"/>
    <w:rsid w:val="00E63C4E"/>
    <w:rsid w:val="00E730DF"/>
    <w:rsid w:val="00E74D76"/>
    <w:rsid w:val="00E754A7"/>
    <w:rsid w:val="00E81909"/>
    <w:rsid w:val="00E83D4E"/>
    <w:rsid w:val="00E84A18"/>
    <w:rsid w:val="00E84C25"/>
    <w:rsid w:val="00E84FF9"/>
    <w:rsid w:val="00E93BC2"/>
    <w:rsid w:val="00EA7020"/>
    <w:rsid w:val="00EB2FD4"/>
    <w:rsid w:val="00EB7300"/>
    <w:rsid w:val="00EC5664"/>
    <w:rsid w:val="00EE0CE1"/>
    <w:rsid w:val="00EE1078"/>
    <w:rsid w:val="00EF2B85"/>
    <w:rsid w:val="00EF79B0"/>
    <w:rsid w:val="00F024DB"/>
    <w:rsid w:val="00F143B1"/>
    <w:rsid w:val="00F1451E"/>
    <w:rsid w:val="00F23CF0"/>
    <w:rsid w:val="00F3777D"/>
    <w:rsid w:val="00F45942"/>
    <w:rsid w:val="00F45AE1"/>
    <w:rsid w:val="00F5192E"/>
    <w:rsid w:val="00F53F01"/>
    <w:rsid w:val="00F57D63"/>
    <w:rsid w:val="00F640B5"/>
    <w:rsid w:val="00F67176"/>
    <w:rsid w:val="00F711B9"/>
    <w:rsid w:val="00F765BA"/>
    <w:rsid w:val="00F81F40"/>
    <w:rsid w:val="00F84EF3"/>
    <w:rsid w:val="00F90DFB"/>
    <w:rsid w:val="00F91089"/>
    <w:rsid w:val="00F94DE6"/>
    <w:rsid w:val="00FA33E4"/>
    <w:rsid w:val="00FB0D99"/>
    <w:rsid w:val="00FB523A"/>
    <w:rsid w:val="00FB5471"/>
    <w:rsid w:val="00FB606D"/>
    <w:rsid w:val="00FC18D8"/>
    <w:rsid w:val="00FC7BB3"/>
    <w:rsid w:val="00FC7D4F"/>
    <w:rsid w:val="00FD0CCE"/>
    <w:rsid w:val="00FE48C9"/>
    <w:rsid w:val="00FE69B2"/>
    <w:rsid w:val="00FF48B9"/>
    <w:rsid w:val="00FF49EB"/>
    <w:rsid w:val="01680748"/>
    <w:rsid w:val="01A3073B"/>
    <w:rsid w:val="01FB06A5"/>
    <w:rsid w:val="02883661"/>
    <w:rsid w:val="033A18A1"/>
    <w:rsid w:val="04A9605B"/>
    <w:rsid w:val="06264A4A"/>
    <w:rsid w:val="063B5B78"/>
    <w:rsid w:val="078A03D3"/>
    <w:rsid w:val="07CA76CE"/>
    <w:rsid w:val="07FC0BA5"/>
    <w:rsid w:val="085B0DBB"/>
    <w:rsid w:val="08E33793"/>
    <w:rsid w:val="09434D9D"/>
    <w:rsid w:val="09B554AF"/>
    <w:rsid w:val="09F92B1D"/>
    <w:rsid w:val="0A694752"/>
    <w:rsid w:val="0AA42C96"/>
    <w:rsid w:val="0AD10D6A"/>
    <w:rsid w:val="0B5E36D3"/>
    <w:rsid w:val="0BB30987"/>
    <w:rsid w:val="0C76193E"/>
    <w:rsid w:val="0DCA1AB9"/>
    <w:rsid w:val="0DF07EE3"/>
    <w:rsid w:val="0E1304C7"/>
    <w:rsid w:val="0E643518"/>
    <w:rsid w:val="0F102792"/>
    <w:rsid w:val="0F8B118C"/>
    <w:rsid w:val="10344DD0"/>
    <w:rsid w:val="10633DCE"/>
    <w:rsid w:val="107B4D5D"/>
    <w:rsid w:val="10DD4EBB"/>
    <w:rsid w:val="12AE0195"/>
    <w:rsid w:val="130A103D"/>
    <w:rsid w:val="13985B17"/>
    <w:rsid w:val="14CB5B87"/>
    <w:rsid w:val="150A19B0"/>
    <w:rsid w:val="152F6116"/>
    <w:rsid w:val="155C3CBE"/>
    <w:rsid w:val="15F93F79"/>
    <w:rsid w:val="162B62D2"/>
    <w:rsid w:val="16693DC2"/>
    <w:rsid w:val="16AD7FB9"/>
    <w:rsid w:val="17EDC74B"/>
    <w:rsid w:val="183F1493"/>
    <w:rsid w:val="18FC4FBA"/>
    <w:rsid w:val="190768CF"/>
    <w:rsid w:val="19AF3334"/>
    <w:rsid w:val="19F5075E"/>
    <w:rsid w:val="1AAB4A91"/>
    <w:rsid w:val="1B0E4ACA"/>
    <w:rsid w:val="1B8B48E8"/>
    <w:rsid w:val="1C3E3265"/>
    <w:rsid w:val="1C8659B7"/>
    <w:rsid w:val="1C9808FD"/>
    <w:rsid w:val="1D2422E4"/>
    <w:rsid w:val="1D934311"/>
    <w:rsid w:val="1DB6582E"/>
    <w:rsid w:val="1F096FB1"/>
    <w:rsid w:val="1F533349"/>
    <w:rsid w:val="20BD1F44"/>
    <w:rsid w:val="214135A7"/>
    <w:rsid w:val="21BF009D"/>
    <w:rsid w:val="22873147"/>
    <w:rsid w:val="229233C9"/>
    <w:rsid w:val="22B90D41"/>
    <w:rsid w:val="23737E65"/>
    <w:rsid w:val="23DA218B"/>
    <w:rsid w:val="252F365E"/>
    <w:rsid w:val="25FE291E"/>
    <w:rsid w:val="263611B5"/>
    <w:rsid w:val="27143262"/>
    <w:rsid w:val="288F7729"/>
    <w:rsid w:val="29F90ABD"/>
    <w:rsid w:val="2A0D1A99"/>
    <w:rsid w:val="2A213392"/>
    <w:rsid w:val="2A2B7F20"/>
    <w:rsid w:val="2A5700B2"/>
    <w:rsid w:val="2AC96FF6"/>
    <w:rsid w:val="2B5E7BEB"/>
    <w:rsid w:val="2C9F3729"/>
    <w:rsid w:val="2CDA604D"/>
    <w:rsid w:val="2D441354"/>
    <w:rsid w:val="2D5304A2"/>
    <w:rsid w:val="2D68079A"/>
    <w:rsid w:val="2DF700D9"/>
    <w:rsid w:val="2E4550FC"/>
    <w:rsid w:val="2E514683"/>
    <w:rsid w:val="2EBACCEC"/>
    <w:rsid w:val="2EBD433B"/>
    <w:rsid w:val="2F276578"/>
    <w:rsid w:val="2FF62EC1"/>
    <w:rsid w:val="2FFC7DCE"/>
    <w:rsid w:val="32C1444F"/>
    <w:rsid w:val="33072028"/>
    <w:rsid w:val="34671B17"/>
    <w:rsid w:val="368F078E"/>
    <w:rsid w:val="374F01EB"/>
    <w:rsid w:val="376213FE"/>
    <w:rsid w:val="376D011C"/>
    <w:rsid w:val="38891DB8"/>
    <w:rsid w:val="38A16843"/>
    <w:rsid w:val="398E6CC1"/>
    <w:rsid w:val="398F5D75"/>
    <w:rsid w:val="399125CB"/>
    <w:rsid w:val="39A91FD3"/>
    <w:rsid w:val="3ABA7D5B"/>
    <w:rsid w:val="3C4F4F38"/>
    <w:rsid w:val="3C9F6A2C"/>
    <w:rsid w:val="3CA5540E"/>
    <w:rsid w:val="3CE416AE"/>
    <w:rsid w:val="3D4E0105"/>
    <w:rsid w:val="3D6764E5"/>
    <w:rsid w:val="3E82529D"/>
    <w:rsid w:val="3EAD0C0C"/>
    <w:rsid w:val="3F7FF403"/>
    <w:rsid w:val="41F15E70"/>
    <w:rsid w:val="42BF5395"/>
    <w:rsid w:val="436C4015"/>
    <w:rsid w:val="43772DF4"/>
    <w:rsid w:val="43C35D22"/>
    <w:rsid w:val="43D025F5"/>
    <w:rsid w:val="441A20EA"/>
    <w:rsid w:val="443469F5"/>
    <w:rsid w:val="44FD328B"/>
    <w:rsid w:val="462F56C6"/>
    <w:rsid w:val="47280A93"/>
    <w:rsid w:val="472E36B4"/>
    <w:rsid w:val="47F15329"/>
    <w:rsid w:val="48B76D8F"/>
    <w:rsid w:val="49DD2383"/>
    <w:rsid w:val="4C1F3EFD"/>
    <w:rsid w:val="4CA639F1"/>
    <w:rsid w:val="4CE34B9C"/>
    <w:rsid w:val="4D38031C"/>
    <w:rsid w:val="4EAD471B"/>
    <w:rsid w:val="4FD36E0E"/>
    <w:rsid w:val="50EF43CF"/>
    <w:rsid w:val="535E0F14"/>
    <w:rsid w:val="53D31D87"/>
    <w:rsid w:val="557E53F1"/>
    <w:rsid w:val="56226E9B"/>
    <w:rsid w:val="56D714C5"/>
    <w:rsid w:val="57E61A10"/>
    <w:rsid w:val="57FF4FBB"/>
    <w:rsid w:val="58D36AC3"/>
    <w:rsid w:val="58DE7204"/>
    <w:rsid w:val="594E097A"/>
    <w:rsid w:val="598310D4"/>
    <w:rsid w:val="59F65C7E"/>
    <w:rsid w:val="5ACC4005"/>
    <w:rsid w:val="5B64133E"/>
    <w:rsid w:val="5B9A4CA7"/>
    <w:rsid w:val="5BE661BF"/>
    <w:rsid w:val="5CB33954"/>
    <w:rsid w:val="5D7A3760"/>
    <w:rsid w:val="5E6B6CD5"/>
    <w:rsid w:val="5F2D2C93"/>
    <w:rsid w:val="5FBF5A6B"/>
    <w:rsid w:val="5FC23025"/>
    <w:rsid w:val="6098413C"/>
    <w:rsid w:val="60E63616"/>
    <w:rsid w:val="60FB2C8B"/>
    <w:rsid w:val="61907CF7"/>
    <w:rsid w:val="61C548D6"/>
    <w:rsid w:val="63123A52"/>
    <w:rsid w:val="631877B6"/>
    <w:rsid w:val="63441F36"/>
    <w:rsid w:val="641941AB"/>
    <w:rsid w:val="649E0E16"/>
    <w:rsid w:val="64C701D0"/>
    <w:rsid w:val="65501489"/>
    <w:rsid w:val="65683634"/>
    <w:rsid w:val="657E0B48"/>
    <w:rsid w:val="66264D37"/>
    <w:rsid w:val="662B15AE"/>
    <w:rsid w:val="67FA3CBD"/>
    <w:rsid w:val="67FF5FF1"/>
    <w:rsid w:val="686F3A8E"/>
    <w:rsid w:val="688D6DBF"/>
    <w:rsid w:val="691B00F9"/>
    <w:rsid w:val="69BE70C4"/>
    <w:rsid w:val="69F831FA"/>
    <w:rsid w:val="6A2A1384"/>
    <w:rsid w:val="6AFEE48C"/>
    <w:rsid w:val="6B5E0AAF"/>
    <w:rsid w:val="6BD31768"/>
    <w:rsid w:val="6D103417"/>
    <w:rsid w:val="6D342528"/>
    <w:rsid w:val="6D73A7A8"/>
    <w:rsid w:val="6DED540B"/>
    <w:rsid w:val="6EC205F2"/>
    <w:rsid w:val="717383BB"/>
    <w:rsid w:val="71C95AE9"/>
    <w:rsid w:val="71EA46D2"/>
    <w:rsid w:val="72556080"/>
    <w:rsid w:val="72CE7E91"/>
    <w:rsid w:val="72FB5971"/>
    <w:rsid w:val="731F3CDF"/>
    <w:rsid w:val="7367CFA8"/>
    <w:rsid w:val="7368470D"/>
    <w:rsid w:val="73762533"/>
    <w:rsid w:val="73F6855F"/>
    <w:rsid w:val="743E50DD"/>
    <w:rsid w:val="74507E06"/>
    <w:rsid w:val="74FB6D7E"/>
    <w:rsid w:val="74FC1995"/>
    <w:rsid w:val="74FD2CB8"/>
    <w:rsid w:val="75ED062E"/>
    <w:rsid w:val="75FF44DB"/>
    <w:rsid w:val="76413F68"/>
    <w:rsid w:val="765C6DB5"/>
    <w:rsid w:val="76B529FB"/>
    <w:rsid w:val="77210E87"/>
    <w:rsid w:val="77B1FF77"/>
    <w:rsid w:val="785A2E96"/>
    <w:rsid w:val="797F503F"/>
    <w:rsid w:val="799A7C87"/>
    <w:rsid w:val="7A2A0ED3"/>
    <w:rsid w:val="7A6B49A6"/>
    <w:rsid w:val="7AC35E02"/>
    <w:rsid w:val="7AD16771"/>
    <w:rsid w:val="7B116B6D"/>
    <w:rsid w:val="7B5615BC"/>
    <w:rsid w:val="7B7FB31D"/>
    <w:rsid w:val="7B973D59"/>
    <w:rsid w:val="7BAE59D5"/>
    <w:rsid w:val="7BEC7AA8"/>
    <w:rsid w:val="7BFD26D4"/>
    <w:rsid w:val="7BFE8EC0"/>
    <w:rsid w:val="7DA61B5B"/>
    <w:rsid w:val="7DF77DD2"/>
    <w:rsid w:val="7DFFA53F"/>
    <w:rsid w:val="7F2FE11E"/>
    <w:rsid w:val="7F5F1F28"/>
    <w:rsid w:val="7F6E0A32"/>
    <w:rsid w:val="7F7BA24F"/>
    <w:rsid w:val="7FAB99E8"/>
    <w:rsid w:val="7FB746D5"/>
    <w:rsid w:val="7FDE543C"/>
    <w:rsid w:val="9FDFE35B"/>
    <w:rsid w:val="AFFAF8E5"/>
    <w:rsid w:val="B8F7F9A2"/>
    <w:rsid w:val="BFE91347"/>
    <w:rsid w:val="CBDF8A08"/>
    <w:rsid w:val="DB7451F2"/>
    <w:rsid w:val="DC9FCBEB"/>
    <w:rsid w:val="E9D78A37"/>
    <w:rsid w:val="EBCD529C"/>
    <w:rsid w:val="EBDFC38F"/>
    <w:rsid w:val="EBE7CAE1"/>
    <w:rsid w:val="F2EFD742"/>
    <w:rsid w:val="F3DECE3F"/>
    <w:rsid w:val="F77B9D5A"/>
    <w:rsid w:val="F78CA074"/>
    <w:rsid w:val="F7DED60E"/>
    <w:rsid w:val="FAFD401C"/>
    <w:rsid w:val="FB6B9550"/>
    <w:rsid w:val="FB735437"/>
    <w:rsid w:val="FBFF0F16"/>
    <w:rsid w:val="FD7E2DDA"/>
    <w:rsid w:val="FDEF3302"/>
    <w:rsid w:val="FDF7D648"/>
    <w:rsid w:val="FE4DE1B6"/>
    <w:rsid w:val="FE5391AB"/>
    <w:rsid w:val="FFADF011"/>
    <w:rsid w:val="FFE15F73"/>
    <w:rsid w:val="FFF26CD7"/>
    <w:rsid w:val="FFFB041A"/>
    <w:rsid w:val="FFFF6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qFormat="1" w:unhideWhenUsed="0" w:uiPriority="0" w:semiHidden="0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qFormat="1"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iPriority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2">
    <w:name w:val="heading 1"/>
    <w:basedOn w:val="1"/>
    <w:next w:val="1"/>
    <w:link w:val="23"/>
    <w:qFormat/>
    <w:uiPriority w:val="9"/>
    <w:pPr>
      <w:keepNext/>
      <w:keepLines/>
      <w:widowControl/>
      <w:spacing w:before="340" w:after="330" w:line="578" w:lineRule="auto"/>
      <w:jc w:val="left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4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8">
    <w:name w:val="Default Paragraph Font"/>
    <w:semiHidden/>
    <w:unhideWhenUsed/>
    <w:qFormat/>
    <w:uiPriority w:val="1"/>
  </w:style>
  <w:style w:type="table" w:default="1" w:styleId="1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annotation text"/>
    <w:basedOn w:val="1"/>
    <w:link w:val="29"/>
    <w:unhideWhenUsed/>
    <w:qFormat/>
    <w:uiPriority w:val="99"/>
    <w:pPr>
      <w:widowControl/>
      <w:jc w:val="left"/>
    </w:pPr>
  </w:style>
  <w:style w:type="paragraph" w:styleId="5">
    <w:name w:val="toc 3"/>
    <w:basedOn w:val="1"/>
    <w:next w:val="1"/>
    <w:unhideWhenUsed/>
    <w:qFormat/>
    <w:uiPriority w:val="39"/>
    <w:pPr>
      <w:widowControl/>
      <w:spacing w:after="100" w:line="259" w:lineRule="auto"/>
      <w:ind w:left="440"/>
      <w:jc w:val="left"/>
    </w:pPr>
    <w:rPr>
      <w:rFonts w:asciiTheme="minorHAnsi" w:hAnsiTheme="minorHAnsi" w:eastAsiaTheme="minorEastAsia"/>
      <w:kern w:val="0"/>
      <w:sz w:val="22"/>
      <w:szCs w:val="22"/>
    </w:rPr>
  </w:style>
  <w:style w:type="paragraph" w:styleId="6">
    <w:name w:val="Plain Text"/>
    <w:basedOn w:val="1"/>
    <w:link w:val="30"/>
    <w:qFormat/>
    <w:uiPriority w:val="0"/>
    <w:pPr>
      <w:spacing w:line="360" w:lineRule="auto"/>
      <w:ind w:firstLine="480" w:firstLineChars="200"/>
    </w:pPr>
    <w:rPr>
      <w:rFonts w:ascii="仿宋_GB2312"/>
      <w:sz w:val="24"/>
    </w:rPr>
  </w:style>
  <w:style w:type="paragraph" w:styleId="7">
    <w:name w:val="Body Text Indent 2"/>
    <w:basedOn w:val="1"/>
    <w:link w:val="33"/>
    <w:qFormat/>
    <w:uiPriority w:val="0"/>
    <w:pPr>
      <w:widowControl/>
      <w:ind w:firstLine="562" w:firstLineChars="200"/>
      <w:jc w:val="left"/>
    </w:pPr>
    <w:rPr>
      <w:b/>
      <w:bCs/>
      <w:sz w:val="28"/>
      <w:szCs w:val="24"/>
    </w:rPr>
  </w:style>
  <w:style w:type="paragraph" w:styleId="8">
    <w:name w:val="Balloon Text"/>
    <w:basedOn w:val="1"/>
    <w:link w:val="28"/>
    <w:semiHidden/>
    <w:unhideWhenUsed/>
    <w:qFormat/>
    <w:uiPriority w:val="99"/>
    <w:rPr>
      <w:sz w:val="18"/>
      <w:szCs w:val="18"/>
    </w:rPr>
  </w:style>
  <w:style w:type="paragraph" w:styleId="9">
    <w:name w:val="footer"/>
    <w:basedOn w:val="1"/>
    <w:link w:val="2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25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1"/>
    <w:next w:val="1"/>
    <w:unhideWhenUsed/>
    <w:qFormat/>
    <w:uiPriority w:val="39"/>
    <w:pPr>
      <w:widowControl/>
      <w:tabs>
        <w:tab w:val="right" w:leader="dot" w:pos="8720"/>
      </w:tabs>
      <w:spacing w:after="100" w:afterAutospacing="1" w:line="360" w:lineRule="auto"/>
      <w:jc w:val="left"/>
    </w:pPr>
    <w:rPr>
      <w:rFonts w:ascii="仿宋_GB2312" w:hAnsi="宋体" w:eastAsia="仿宋_GB2312"/>
      <w:b/>
      <w:bCs/>
      <w:kern w:val="0"/>
      <w:sz w:val="32"/>
      <w:szCs w:val="32"/>
    </w:rPr>
  </w:style>
  <w:style w:type="paragraph" w:styleId="12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3">
    <w:name w:val="Normal (Web)"/>
    <w:basedOn w:val="1"/>
    <w:semiHidden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14">
    <w:name w:val="Title"/>
    <w:basedOn w:val="1"/>
    <w:next w:val="1"/>
    <w:link w:val="34"/>
    <w:qFormat/>
    <w:uiPriority w:val="0"/>
    <w:pPr>
      <w:widowControl/>
      <w:spacing w:before="240" w:after="60"/>
      <w:jc w:val="center"/>
      <w:outlineLvl w:val="0"/>
    </w:pPr>
    <w:rPr>
      <w:rFonts w:ascii="Cambria" w:hAnsi="Cambria" w:eastAsia="黑体"/>
      <w:b/>
      <w:bCs/>
      <w:sz w:val="52"/>
      <w:szCs w:val="32"/>
    </w:rPr>
  </w:style>
  <w:style w:type="paragraph" w:styleId="15">
    <w:name w:val="annotation subject"/>
    <w:basedOn w:val="4"/>
    <w:next w:val="4"/>
    <w:link w:val="35"/>
    <w:semiHidden/>
    <w:unhideWhenUsed/>
    <w:qFormat/>
    <w:uiPriority w:val="99"/>
    <w:rPr>
      <w:b/>
      <w:bCs/>
    </w:rPr>
  </w:style>
  <w:style w:type="table" w:styleId="17">
    <w:name w:val="Table Grid"/>
    <w:basedOn w:val="1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9">
    <w:name w:val="Strong"/>
    <w:basedOn w:val="18"/>
    <w:qFormat/>
    <w:uiPriority w:val="0"/>
    <w:rPr>
      <w:b/>
      <w:bCs/>
    </w:rPr>
  </w:style>
  <w:style w:type="character" w:styleId="20">
    <w:name w:val="page number"/>
    <w:basedOn w:val="18"/>
    <w:qFormat/>
    <w:uiPriority w:val="0"/>
  </w:style>
  <w:style w:type="character" w:styleId="21">
    <w:name w:val="Hyperlink"/>
    <w:qFormat/>
    <w:uiPriority w:val="99"/>
    <w:rPr>
      <w:color w:val="0000FF"/>
      <w:u w:val="single"/>
    </w:rPr>
  </w:style>
  <w:style w:type="character" w:styleId="22">
    <w:name w:val="annotation reference"/>
    <w:basedOn w:val="18"/>
    <w:semiHidden/>
    <w:unhideWhenUsed/>
    <w:qFormat/>
    <w:uiPriority w:val="99"/>
    <w:rPr>
      <w:sz w:val="21"/>
      <w:szCs w:val="21"/>
    </w:rPr>
  </w:style>
  <w:style w:type="character" w:customStyle="1" w:styleId="23">
    <w:name w:val="标题 1 Char"/>
    <w:basedOn w:val="18"/>
    <w:link w:val="2"/>
    <w:qFormat/>
    <w:uiPriority w:val="9"/>
    <w:rPr>
      <w:rFonts w:ascii="Times New Roman" w:hAnsi="Times New Roman" w:eastAsia="宋体" w:cs="Times New Roman"/>
      <w:b/>
      <w:bCs/>
      <w:kern w:val="44"/>
      <w:sz w:val="44"/>
      <w:szCs w:val="44"/>
    </w:rPr>
  </w:style>
  <w:style w:type="character" w:customStyle="1" w:styleId="24">
    <w:name w:val="标题 2 Char"/>
    <w:basedOn w:val="18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5">
    <w:name w:val="页眉 Char"/>
    <w:basedOn w:val="18"/>
    <w:link w:val="10"/>
    <w:qFormat/>
    <w:uiPriority w:val="0"/>
    <w:rPr>
      <w:sz w:val="18"/>
      <w:szCs w:val="18"/>
    </w:rPr>
  </w:style>
  <w:style w:type="character" w:customStyle="1" w:styleId="26">
    <w:name w:val="页脚 Char"/>
    <w:basedOn w:val="18"/>
    <w:link w:val="9"/>
    <w:qFormat/>
    <w:uiPriority w:val="99"/>
    <w:rPr>
      <w:sz w:val="18"/>
      <w:szCs w:val="18"/>
    </w:rPr>
  </w:style>
  <w:style w:type="paragraph" w:customStyle="1" w:styleId="27">
    <w:name w:val="样式1"/>
    <w:basedOn w:val="1"/>
    <w:qFormat/>
    <w:uiPriority w:val="0"/>
    <w:pPr>
      <w:spacing w:line="600" w:lineRule="exact"/>
      <w:ind w:firstLine="200" w:firstLineChars="200"/>
    </w:pPr>
    <w:rPr>
      <w:rFonts w:eastAsia="方正仿宋简体"/>
      <w:bCs/>
      <w:snapToGrid w:val="0"/>
      <w:kern w:val="0"/>
      <w:sz w:val="32"/>
      <w:szCs w:val="32"/>
    </w:rPr>
  </w:style>
  <w:style w:type="character" w:customStyle="1" w:styleId="28">
    <w:name w:val="批注框文本 Char"/>
    <w:basedOn w:val="18"/>
    <w:link w:val="8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29">
    <w:name w:val="批注文字 Char"/>
    <w:basedOn w:val="18"/>
    <w:link w:val="4"/>
    <w:qFormat/>
    <w:uiPriority w:val="99"/>
    <w:rPr>
      <w:rFonts w:ascii="Times New Roman" w:hAnsi="Times New Roman" w:eastAsia="宋体" w:cs="Times New Roman"/>
      <w:szCs w:val="20"/>
    </w:rPr>
  </w:style>
  <w:style w:type="character" w:customStyle="1" w:styleId="30">
    <w:name w:val="纯文本 Char"/>
    <w:basedOn w:val="18"/>
    <w:link w:val="6"/>
    <w:qFormat/>
    <w:uiPriority w:val="0"/>
    <w:rPr>
      <w:rFonts w:ascii="仿宋_GB2312" w:hAnsi="Times New Roman" w:eastAsia="宋体" w:cs="Times New Roman"/>
      <w:sz w:val="24"/>
      <w:szCs w:val="20"/>
    </w:rPr>
  </w:style>
  <w:style w:type="paragraph" w:customStyle="1" w:styleId="31">
    <w:name w:val="_Style 8"/>
    <w:basedOn w:val="1"/>
    <w:next w:val="1"/>
    <w:qFormat/>
    <w:uiPriority w:val="0"/>
    <w:pPr>
      <w:spacing w:line="360" w:lineRule="auto"/>
      <w:ind w:firstLine="480" w:firstLineChars="200"/>
    </w:pPr>
    <w:rPr>
      <w:rFonts w:ascii="仿宋_GB2312"/>
      <w:sz w:val="24"/>
    </w:rPr>
  </w:style>
  <w:style w:type="paragraph" w:styleId="32">
    <w:name w:val="List Paragraph"/>
    <w:basedOn w:val="1"/>
    <w:qFormat/>
    <w:uiPriority w:val="34"/>
    <w:pPr>
      <w:ind w:firstLine="420" w:firstLineChars="200"/>
    </w:pPr>
    <w:rPr>
      <w:rFonts w:ascii="仿宋_GB2312" w:eastAsia="仿宋_GB2312"/>
      <w:spacing w:val="-4"/>
      <w:sz w:val="32"/>
    </w:rPr>
  </w:style>
  <w:style w:type="character" w:customStyle="1" w:styleId="33">
    <w:name w:val="正文文本缩进 2 Char"/>
    <w:basedOn w:val="18"/>
    <w:link w:val="7"/>
    <w:qFormat/>
    <w:uiPriority w:val="0"/>
    <w:rPr>
      <w:rFonts w:ascii="Times New Roman" w:hAnsi="Times New Roman" w:eastAsia="宋体" w:cs="Times New Roman"/>
      <w:b/>
      <w:bCs/>
      <w:sz w:val="28"/>
      <w:szCs w:val="24"/>
    </w:rPr>
  </w:style>
  <w:style w:type="character" w:customStyle="1" w:styleId="34">
    <w:name w:val="标题 Char"/>
    <w:basedOn w:val="18"/>
    <w:link w:val="14"/>
    <w:qFormat/>
    <w:uiPriority w:val="0"/>
    <w:rPr>
      <w:rFonts w:ascii="Cambria" w:hAnsi="Cambria" w:eastAsia="黑体" w:cs="Times New Roman"/>
      <w:b/>
      <w:bCs/>
      <w:sz w:val="52"/>
      <w:szCs w:val="32"/>
    </w:rPr>
  </w:style>
  <w:style w:type="character" w:customStyle="1" w:styleId="35">
    <w:name w:val="批注主题 Char"/>
    <w:basedOn w:val="29"/>
    <w:link w:val="15"/>
    <w:semiHidden/>
    <w:qFormat/>
    <w:uiPriority w:val="99"/>
    <w:rPr>
      <w:rFonts w:ascii="Times New Roman" w:hAnsi="Times New Roman" w:eastAsia="宋体" w:cs="Times New Roman"/>
      <w:b/>
      <w:bCs/>
      <w:szCs w:val="20"/>
    </w:rPr>
  </w:style>
  <w:style w:type="character" w:customStyle="1" w:styleId="36">
    <w:name w:val="title1"/>
    <w:qFormat/>
    <w:uiPriority w:val="0"/>
    <w:rPr>
      <w:b/>
      <w:bCs/>
      <w:color w:val="999900"/>
      <w:sz w:val="24"/>
      <w:szCs w:val="24"/>
    </w:rPr>
  </w:style>
  <w:style w:type="paragraph" w:customStyle="1" w:styleId="37">
    <w:name w:val="TOC 标题1"/>
    <w:basedOn w:val="2"/>
    <w:next w:val="1"/>
    <w:unhideWhenUsed/>
    <w:qFormat/>
    <w:uiPriority w:val="39"/>
    <w:pPr>
      <w:spacing w:before="240" w:after="0" w:line="259" w:lineRule="auto"/>
      <w:outlineLvl w:val="9"/>
    </w:pPr>
    <w:rPr>
      <w:rFonts w:asciiTheme="majorHAnsi" w:hAnsiTheme="majorHAnsi" w:eastAsiaTheme="majorEastAsia" w:cstheme="majorBidi"/>
      <w:b w:val="0"/>
      <w:bCs w:val="0"/>
      <w:color w:val="366091" w:themeColor="accent1" w:themeShade="BF"/>
      <w:kern w:val="0"/>
      <w:sz w:val="32"/>
      <w:szCs w:val="32"/>
    </w:rPr>
  </w:style>
  <w:style w:type="character" w:customStyle="1" w:styleId="38">
    <w:name w:val="docsum-authors"/>
    <w:qFormat/>
    <w:uiPriority w:val="0"/>
  </w:style>
  <w:style w:type="character" w:customStyle="1" w:styleId="39">
    <w:name w:val="docsum-journal-citation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6</Pages>
  <Words>1412</Words>
  <Characters>3218</Characters>
  <Lines>28</Lines>
  <Paragraphs>8</Paragraphs>
  <TotalTime>189</TotalTime>
  <ScaleCrop>false</ScaleCrop>
  <LinksUpToDate>false</LinksUpToDate>
  <CharactersWithSpaces>3553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2022-01-25T00:15:00Z</dcterms:created>
  <dc:creator>胡胜链</dc:creator>
  <cp:lastModifiedBy>詹淑贝</cp:lastModifiedBy>
  <cp:lastPrinted>2022-01-27T01:53:00Z</cp:lastPrinted>
  <dcterms:modified xsi:type="dcterms:W3CDTF">2025-09-11T08:51:23Z</dcterms:modified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7415A875B6C34A36A16A6087D0DEB524</vt:lpwstr>
  </property>
  <property fmtid="{D5CDD505-2E9C-101B-9397-08002B2CF9AE}" pid="4" name="KSOTemplateDocerSaveRecord">
    <vt:lpwstr>eyJoZGlkIjoiY2FmYzE5MDMyMWQ0MzE2YjViM2ZiODE5N2JmNzNkZWYiLCJ1c2VySWQiOiIyNjExNDgzODcifQ==</vt:lpwstr>
  </property>
</Properties>
</file>