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81C58">
      <w:pPr>
        <w:jc w:val="center"/>
        <w:rPr>
          <w:rStyle w:val="6"/>
          <w:rFonts w:eastAsia="方正小标宋简体"/>
          <w:bCs w:val="0"/>
          <w:color w:val="auto"/>
          <w:sz w:val="36"/>
          <w:szCs w:val="36"/>
        </w:rPr>
      </w:pPr>
      <w:bookmarkStart w:id="0" w:name="_GoBack"/>
      <w:bookmarkEnd w:id="0"/>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p w14:paraId="047BC51A">
      <w:pPr>
        <w:spacing w:line="440" w:lineRule="exact"/>
        <w:rPr>
          <w:rFonts w:eastAsia="仿宋_GB2312"/>
          <w:sz w:val="28"/>
          <w:szCs w:val="24"/>
        </w:rPr>
      </w:pPr>
      <w:r>
        <w:rPr>
          <w:rFonts w:eastAsia="仿宋_GB2312"/>
          <w:sz w:val="28"/>
          <w:szCs w:val="24"/>
        </w:rPr>
        <w:t>提名奖项：科学技术进步奖</w:t>
      </w:r>
    </w:p>
    <w:tbl>
      <w:tblPr>
        <w:tblStyle w:val="3"/>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12B55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079444EE">
            <w:pPr>
              <w:jc w:val="center"/>
              <w:rPr>
                <w:rStyle w:val="6"/>
                <w:rFonts w:eastAsia="仿宋_GB2312"/>
                <w:b w:val="0"/>
                <w:color w:val="auto"/>
                <w:sz w:val="28"/>
              </w:rPr>
            </w:pPr>
            <w:r>
              <w:rPr>
                <w:rStyle w:val="6"/>
                <w:rFonts w:eastAsia="仿宋_GB2312"/>
                <w:b w:val="0"/>
                <w:bCs w:val="0"/>
                <w:color w:val="auto"/>
                <w:sz w:val="28"/>
              </w:rPr>
              <w:t>成果名称</w:t>
            </w:r>
          </w:p>
        </w:tc>
        <w:tc>
          <w:tcPr>
            <w:tcW w:w="6237" w:type="dxa"/>
            <w:vAlign w:val="center"/>
          </w:tcPr>
          <w:p w14:paraId="3DB6ED7E">
            <w:pPr>
              <w:jc w:val="center"/>
              <w:rPr>
                <w:rStyle w:val="6"/>
                <w:rFonts w:eastAsia="仿宋_GB2312"/>
                <w:b w:val="0"/>
                <w:color w:val="auto"/>
                <w:sz w:val="28"/>
              </w:rPr>
            </w:pPr>
            <w:r>
              <w:rPr>
                <w:rStyle w:val="6"/>
                <w:rFonts w:hint="eastAsia" w:eastAsia="仿宋_GB2312"/>
                <w:b w:val="0"/>
                <w:color w:val="auto"/>
                <w:sz w:val="24"/>
                <w:szCs w:val="22"/>
              </w:rPr>
              <w:t>PET分子影像探针合成制备关键技术体系创新及应用</w:t>
            </w:r>
          </w:p>
        </w:tc>
      </w:tr>
      <w:tr w14:paraId="47457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7022B092">
            <w:pPr>
              <w:jc w:val="center"/>
              <w:rPr>
                <w:rStyle w:val="6"/>
                <w:rFonts w:eastAsia="仿宋_GB2312"/>
                <w:b w:val="0"/>
                <w:color w:val="auto"/>
                <w:sz w:val="28"/>
              </w:rPr>
            </w:pPr>
            <w:r>
              <w:rPr>
                <w:rStyle w:val="6"/>
                <w:rFonts w:eastAsia="仿宋_GB2312"/>
                <w:b w:val="0"/>
                <w:bCs w:val="0"/>
                <w:color w:val="auto"/>
                <w:sz w:val="28"/>
              </w:rPr>
              <w:t>提名等级</w:t>
            </w:r>
          </w:p>
        </w:tc>
        <w:tc>
          <w:tcPr>
            <w:tcW w:w="6237" w:type="dxa"/>
            <w:vAlign w:val="center"/>
          </w:tcPr>
          <w:p w14:paraId="5232CB6F">
            <w:pPr>
              <w:jc w:val="center"/>
              <w:rPr>
                <w:rStyle w:val="6"/>
                <w:rFonts w:hint="eastAsia" w:eastAsia="仿宋_GB2312"/>
                <w:b w:val="0"/>
                <w:color w:val="auto"/>
                <w:sz w:val="28"/>
                <w:lang w:val="en-US" w:eastAsia="zh-CN"/>
              </w:rPr>
            </w:pPr>
            <w:r>
              <w:rPr>
                <w:rStyle w:val="6"/>
                <w:rFonts w:hint="eastAsia" w:ascii="仿宋" w:hAnsi="仿宋" w:eastAsia="仿宋" w:cs="仿宋"/>
                <w:b w:val="0"/>
                <w:color w:val="auto"/>
                <w:sz w:val="24"/>
                <w:szCs w:val="22"/>
                <w:lang w:val="en-US" w:eastAsia="zh-CN"/>
              </w:rPr>
              <w:t>一等奖</w:t>
            </w:r>
          </w:p>
        </w:tc>
      </w:tr>
      <w:tr w14:paraId="2A56C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trPr>
        <w:tc>
          <w:tcPr>
            <w:tcW w:w="2269" w:type="dxa"/>
            <w:vAlign w:val="center"/>
          </w:tcPr>
          <w:p w14:paraId="722C0C8B">
            <w:pPr>
              <w:spacing w:line="440" w:lineRule="exact"/>
              <w:jc w:val="center"/>
              <w:rPr>
                <w:rFonts w:eastAsia="仿宋_GB2312"/>
                <w:bCs/>
                <w:sz w:val="28"/>
                <w:szCs w:val="24"/>
              </w:rPr>
            </w:pPr>
            <w:r>
              <w:rPr>
                <w:rFonts w:eastAsia="仿宋_GB2312"/>
                <w:bCs/>
                <w:sz w:val="28"/>
                <w:szCs w:val="24"/>
              </w:rPr>
              <w:t>提名书</w:t>
            </w:r>
          </w:p>
          <w:p w14:paraId="1D8BE47F">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1BB0A524">
            <w:pPr>
              <w:spacing w:line="240" w:lineRule="auto"/>
              <w:jc w:val="both"/>
              <w:rPr>
                <w:rFonts w:eastAsia="仿宋_GB2312"/>
                <w:b/>
                <w:bCs w:val="0"/>
                <w:sz w:val="22"/>
                <w:szCs w:val="22"/>
              </w:rPr>
            </w:pPr>
            <w:r>
              <w:rPr>
                <w:rFonts w:eastAsia="仿宋_GB2312"/>
                <w:b/>
                <w:bCs w:val="0"/>
                <w:sz w:val="22"/>
                <w:szCs w:val="22"/>
              </w:rPr>
              <w:t>主要知识产权和标准规范目录</w:t>
            </w:r>
          </w:p>
          <w:p w14:paraId="6E33C995">
            <w:pPr>
              <w:numPr>
                <w:ilvl w:val="0"/>
                <w:numId w:val="1"/>
              </w:numPr>
              <w:spacing w:line="240" w:lineRule="auto"/>
              <w:jc w:val="both"/>
              <w:rPr>
                <w:rFonts w:hint="default" w:eastAsia="仿宋_GB2312"/>
                <w:b w:val="0"/>
                <w:bCs/>
                <w:sz w:val="22"/>
                <w:szCs w:val="22"/>
                <w:lang w:val="en-US" w:eastAsia="zh-CN"/>
              </w:rPr>
            </w:pPr>
            <w:r>
              <w:rPr>
                <w:rFonts w:hint="eastAsia" w:eastAsia="仿宋_GB2312"/>
                <w:b w:val="0"/>
                <w:bCs/>
                <w:sz w:val="22"/>
                <w:szCs w:val="22"/>
                <w:lang w:val="en-US" w:eastAsia="zh-CN"/>
              </w:rPr>
              <w:t>【发明专利】基于微流控技术的PET显像剂模块化集成合成装置及其方法，中国，ZL201810893037.X，专利权人：浙江大学，发明人：张宏、田梅、潘建章、方群、徐光明、裘佳萍、雷鸣，授权日期：2019-12-31。</w:t>
            </w:r>
          </w:p>
          <w:p w14:paraId="67E35CA6">
            <w:pPr>
              <w:numPr>
                <w:ilvl w:val="0"/>
                <w:numId w:val="1"/>
              </w:numPr>
              <w:spacing w:line="240" w:lineRule="auto"/>
              <w:jc w:val="both"/>
              <w:rPr>
                <w:rFonts w:hint="default" w:eastAsia="仿宋_GB2312"/>
                <w:b w:val="0"/>
                <w:bCs/>
                <w:sz w:val="22"/>
                <w:szCs w:val="22"/>
                <w:lang w:val="en-US" w:eastAsia="zh-CN"/>
              </w:rPr>
            </w:pPr>
            <w:r>
              <w:rPr>
                <w:rFonts w:hint="eastAsia" w:eastAsia="仿宋_GB2312"/>
                <w:b w:val="0"/>
                <w:bCs/>
                <w:sz w:val="22"/>
                <w:szCs w:val="22"/>
                <w:lang w:val="en-US" w:eastAsia="zh-CN"/>
              </w:rPr>
              <w:t>【发明专利】</w:t>
            </w:r>
            <w:r>
              <w:rPr>
                <w:rFonts w:hint="eastAsia" w:eastAsia="仿宋_GB2312"/>
                <w:sz w:val="22"/>
                <w:szCs w:val="20"/>
                <w:highlight w:val="none"/>
              </w:rPr>
              <w:t>一种基于热驱动的微流控反应装置及方法</w:t>
            </w:r>
            <w:r>
              <w:rPr>
                <w:rFonts w:hint="eastAsia" w:eastAsia="仿宋_GB2312"/>
                <w:sz w:val="22"/>
                <w:szCs w:val="20"/>
                <w:highlight w:val="none"/>
                <w:lang w:eastAsia="zh-CN"/>
              </w:rPr>
              <w:t>，</w:t>
            </w:r>
            <w:r>
              <w:rPr>
                <w:rFonts w:hint="eastAsia" w:eastAsia="仿宋_GB2312"/>
                <w:sz w:val="22"/>
                <w:szCs w:val="20"/>
                <w:highlight w:val="none"/>
                <w:lang w:val="en-US" w:eastAsia="zh-CN"/>
              </w:rPr>
              <w:t>中国，ZL201810893026.1，专利权人：浙江大学，发明人：</w:t>
            </w:r>
            <w:r>
              <w:rPr>
                <w:rFonts w:hint="eastAsia" w:eastAsia="仿宋_GB2312"/>
                <w:sz w:val="22"/>
                <w:szCs w:val="20"/>
                <w:highlight w:val="none"/>
              </w:rPr>
              <w:t>潘建章、方群、张宏、田梅、徐光明</w:t>
            </w:r>
            <w:r>
              <w:rPr>
                <w:rFonts w:hint="eastAsia" w:eastAsia="仿宋_GB2312"/>
                <w:sz w:val="22"/>
                <w:szCs w:val="20"/>
                <w:highlight w:val="none"/>
                <w:lang w:eastAsia="zh-CN"/>
              </w:rPr>
              <w:t>，</w:t>
            </w:r>
            <w:r>
              <w:rPr>
                <w:rFonts w:hint="eastAsia" w:eastAsia="仿宋_GB2312"/>
                <w:sz w:val="22"/>
                <w:szCs w:val="20"/>
                <w:highlight w:val="none"/>
                <w:lang w:val="en-US" w:eastAsia="zh-CN"/>
              </w:rPr>
              <w:t>授权日期：2020-04-17.</w:t>
            </w:r>
          </w:p>
          <w:p w14:paraId="72737DD3">
            <w:pPr>
              <w:numPr>
                <w:ilvl w:val="0"/>
                <w:numId w:val="1"/>
              </w:numPr>
              <w:spacing w:line="240" w:lineRule="auto"/>
              <w:jc w:val="both"/>
              <w:rPr>
                <w:rFonts w:hint="default" w:eastAsia="仿宋_GB2312"/>
                <w:b w:val="0"/>
                <w:bCs/>
                <w:sz w:val="22"/>
                <w:szCs w:val="22"/>
                <w:lang w:val="en-US" w:eastAsia="zh-CN"/>
              </w:rPr>
            </w:pPr>
            <w:r>
              <w:rPr>
                <w:rFonts w:hint="eastAsia" w:eastAsia="仿宋_GB2312"/>
                <w:sz w:val="22"/>
                <w:szCs w:val="20"/>
                <w:highlight w:val="none"/>
                <w:lang w:val="en-US" w:eastAsia="zh-CN"/>
              </w:rPr>
              <w:t>【发明专利】</w:t>
            </w:r>
            <w:r>
              <w:rPr>
                <w:rFonts w:hint="eastAsia" w:eastAsia="仿宋_GB2312"/>
                <w:sz w:val="22"/>
                <w:szCs w:val="20"/>
                <w:highlight w:val="none"/>
              </w:rPr>
              <w:t>多次、快速合成</w:t>
            </w:r>
            <w:r>
              <w:rPr>
                <w:rFonts w:hint="eastAsia" w:eastAsia="仿宋_GB2312"/>
                <w:sz w:val="22"/>
                <w:szCs w:val="20"/>
                <w:highlight w:val="none"/>
                <w:vertAlign w:val="superscript"/>
              </w:rPr>
              <w:t>18</w:t>
            </w:r>
            <w:r>
              <w:rPr>
                <w:rFonts w:hint="eastAsia" w:eastAsia="仿宋_GB2312"/>
                <w:sz w:val="22"/>
                <w:szCs w:val="20"/>
                <w:highlight w:val="none"/>
              </w:rPr>
              <w:t>F-FDG的工艺及所采用的阀门系统</w:t>
            </w:r>
            <w:r>
              <w:rPr>
                <w:rFonts w:hint="eastAsia" w:eastAsia="仿宋_GB2312"/>
                <w:sz w:val="22"/>
                <w:szCs w:val="20"/>
                <w:highlight w:val="none"/>
                <w:lang w:eastAsia="zh-CN"/>
              </w:rPr>
              <w:t>，</w:t>
            </w:r>
            <w:r>
              <w:rPr>
                <w:rFonts w:hint="eastAsia" w:eastAsia="仿宋_GB2312"/>
                <w:sz w:val="22"/>
                <w:szCs w:val="20"/>
                <w:highlight w:val="none"/>
                <w:lang w:val="en-US" w:eastAsia="zh-CN"/>
              </w:rPr>
              <w:t>中国，</w:t>
            </w:r>
            <w:r>
              <w:rPr>
                <w:rFonts w:hint="eastAsia" w:eastAsia="仿宋_GB2312"/>
                <w:sz w:val="22"/>
                <w:szCs w:val="20"/>
                <w:highlight w:val="none"/>
              </w:rPr>
              <w:t>ZL201610649392.3</w:t>
            </w:r>
            <w:r>
              <w:rPr>
                <w:rFonts w:hint="eastAsia" w:eastAsia="仿宋_GB2312"/>
                <w:sz w:val="22"/>
                <w:szCs w:val="20"/>
                <w:highlight w:val="none"/>
                <w:lang w:eastAsia="zh-CN"/>
              </w:rPr>
              <w:t>，</w:t>
            </w:r>
            <w:r>
              <w:rPr>
                <w:rFonts w:hint="eastAsia" w:eastAsia="仿宋_GB2312"/>
                <w:sz w:val="22"/>
                <w:szCs w:val="20"/>
                <w:highlight w:val="none"/>
                <w:lang w:val="en-US" w:eastAsia="zh-CN"/>
              </w:rPr>
              <w:t>专利权人：周彤，发明人：周彤，授权日期：2019-06-04</w:t>
            </w:r>
          </w:p>
          <w:p w14:paraId="7A878747">
            <w:pPr>
              <w:numPr>
                <w:ilvl w:val="0"/>
                <w:numId w:val="1"/>
              </w:numPr>
              <w:spacing w:line="240" w:lineRule="auto"/>
              <w:jc w:val="both"/>
              <w:rPr>
                <w:rFonts w:hint="default" w:eastAsia="仿宋_GB2312"/>
                <w:b w:val="0"/>
                <w:bCs/>
                <w:sz w:val="22"/>
                <w:szCs w:val="22"/>
                <w:lang w:val="en-US" w:eastAsia="zh-CN"/>
              </w:rPr>
            </w:pPr>
            <w:r>
              <w:rPr>
                <w:rFonts w:hint="eastAsia" w:eastAsia="仿宋_GB2312"/>
                <w:sz w:val="22"/>
                <w:szCs w:val="20"/>
                <w:highlight w:val="none"/>
                <w:lang w:val="en-US" w:eastAsia="zh-CN"/>
              </w:rPr>
              <w:t>【发明专利】</w:t>
            </w:r>
            <w:r>
              <w:rPr>
                <w:rFonts w:hint="eastAsia" w:eastAsia="仿宋_GB2312"/>
                <w:sz w:val="22"/>
                <w:szCs w:val="20"/>
                <w:highlight w:val="none"/>
              </w:rPr>
              <w:t>一种连续两次合成氟-18放射性药物的工艺及模块</w:t>
            </w:r>
            <w:r>
              <w:rPr>
                <w:rFonts w:hint="eastAsia" w:eastAsia="仿宋_GB2312"/>
                <w:sz w:val="22"/>
                <w:szCs w:val="20"/>
                <w:highlight w:val="none"/>
                <w:lang w:eastAsia="zh-CN"/>
              </w:rPr>
              <w:t>，</w:t>
            </w:r>
            <w:r>
              <w:rPr>
                <w:rFonts w:hint="eastAsia" w:eastAsia="仿宋_GB2312"/>
                <w:sz w:val="22"/>
                <w:szCs w:val="20"/>
                <w:highlight w:val="none"/>
                <w:lang w:val="en-US" w:eastAsia="zh-CN"/>
              </w:rPr>
              <w:t>中国，</w:t>
            </w:r>
            <w:r>
              <w:rPr>
                <w:rFonts w:hint="eastAsia" w:eastAsia="仿宋_GB2312"/>
                <w:sz w:val="22"/>
                <w:szCs w:val="20"/>
                <w:highlight w:val="none"/>
              </w:rPr>
              <w:t>ZL201510434051.X</w:t>
            </w:r>
            <w:r>
              <w:rPr>
                <w:rFonts w:hint="eastAsia" w:eastAsia="仿宋_GB2312"/>
                <w:sz w:val="22"/>
                <w:szCs w:val="20"/>
                <w:highlight w:val="none"/>
                <w:lang w:eastAsia="zh-CN"/>
              </w:rPr>
              <w:t>，</w:t>
            </w:r>
            <w:r>
              <w:rPr>
                <w:rFonts w:hint="eastAsia" w:eastAsia="仿宋_GB2312"/>
                <w:sz w:val="22"/>
                <w:szCs w:val="20"/>
                <w:highlight w:val="none"/>
                <w:lang w:val="en-US" w:eastAsia="zh-CN"/>
              </w:rPr>
              <w:t>专利权人：派特（北京）科技有限公司，发明人：周彤，授权日期：2018-07-03.</w:t>
            </w:r>
          </w:p>
          <w:p w14:paraId="712F978B">
            <w:pPr>
              <w:numPr>
                <w:ilvl w:val="0"/>
                <w:numId w:val="1"/>
              </w:numPr>
              <w:spacing w:line="240" w:lineRule="auto"/>
              <w:jc w:val="both"/>
              <w:rPr>
                <w:rFonts w:hint="default" w:eastAsia="仿宋_GB2312"/>
                <w:b w:val="0"/>
                <w:bCs/>
                <w:sz w:val="22"/>
                <w:szCs w:val="22"/>
                <w:lang w:val="en-US" w:eastAsia="zh-CN"/>
              </w:rPr>
            </w:pPr>
            <w:r>
              <w:rPr>
                <w:rFonts w:hint="eastAsia" w:eastAsia="仿宋_GB2312"/>
                <w:sz w:val="22"/>
                <w:szCs w:val="20"/>
                <w:highlight w:val="none"/>
                <w:lang w:val="en-US" w:eastAsia="zh-CN"/>
              </w:rPr>
              <w:t>【发明专利】</w:t>
            </w:r>
            <w:r>
              <w:rPr>
                <w:rFonts w:hint="eastAsia" w:eastAsia="仿宋_GB2312"/>
                <w:sz w:val="22"/>
                <w:szCs w:val="20"/>
                <w:highlight w:val="none"/>
              </w:rPr>
              <w:t>用于合成反应中实现干燥过程的微流控芯片及其方法</w:t>
            </w:r>
            <w:r>
              <w:rPr>
                <w:rFonts w:hint="eastAsia" w:eastAsia="仿宋_GB2312"/>
                <w:sz w:val="22"/>
                <w:szCs w:val="20"/>
                <w:highlight w:val="none"/>
                <w:lang w:eastAsia="zh-CN"/>
              </w:rPr>
              <w:t>，</w:t>
            </w:r>
            <w:r>
              <w:rPr>
                <w:rFonts w:hint="eastAsia" w:eastAsia="仿宋_GB2312"/>
                <w:sz w:val="22"/>
                <w:szCs w:val="20"/>
                <w:highlight w:val="none"/>
                <w:lang w:val="en-US" w:eastAsia="zh-CN"/>
              </w:rPr>
              <w:t>中国，ZL201810892301.8，专利权人：浙江大学，发明人：潘建章、方群、徐光明、张宏、田梅，授权日期：2019-12-31。</w:t>
            </w:r>
          </w:p>
          <w:p w14:paraId="4BFBE656">
            <w:pPr>
              <w:numPr>
                <w:ilvl w:val="0"/>
                <w:numId w:val="1"/>
              </w:numPr>
              <w:spacing w:line="240" w:lineRule="auto"/>
              <w:jc w:val="both"/>
              <w:rPr>
                <w:rFonts w:hint="default" w:eastAsia="仿宋_GB2312"/>
                <w:b w:val="0"/>
                <w:bCs/>
                <w:sz w:val="22"/>
                <w:szCs w:val="22"/>
                <w:lang w:val="en-US" w:eastAsia="zh-CN"/>
              </w:rPr>
            </w:pPr>
            <w:r>
              <w:rPr>
                <w:rFonts w:hint="eastAsia" w:eastAsia="仿宋_GB2312"/>
                <w:sz w:val="22"/>
                <w:szCs w:val="20"/>
                <w:highlight w:val="none"/>
                <w:lang w:val="en-US" w:eastAsia="zh-CN"/>
              </w:rPr>
              <w:t>【发明专利】</w:t>
            </w:r>
            <w:r>
              <w:rPr>
                <w:rFonts w:hint="eastAsia" w:eastAsia="仿宋_GB2312"/>
                <w:sz w:val="22"/>
                <w:szCs w:val="20"/>
                <w:highlight w:val="none"/>
              </w:rPr>
              <w:t>一种AIE-PET双模态显像剂及其制备方法和应用</w:t>
            </w:r>
            <w:r>
              <w:rPr>
                <w:rFonts w:hint="eastAsia" w:eastAsia="仿宋_GB2312"/>
                <w:sz w:val="22"/>
                <w:szCs w:val="20"/>
                <w:highlight w:val="none"/>
                <w:lang w:val="en-US" w:eastAsia="zh-CN"/>
              </w:rPr>
              <w:t>，中国，ZL202210027809.8，专利权人：浙江大学，发明人：</w:t>
            </w:r>
            <w:r>
              <w:rPr>
                <w:rFonts w:hint="eastAsia" w:eastAsia="仿宋_GB2312"/>
                <w:sz w:val="22"/>
                <w:szCs w:val="20"/>
                <w:highlight w:val="none"/>
              </w:rPr>
              <w:t>和庆钢</w:t>
            </w:r>
            <w:r>
              <w:rPr>
                <w:rFonts w:hint="eastAsia" w:eastAsia="仿宋_GB2312"/>
                <w:sz w:val="22"/>
                <w:szCs w:val="20"/>
                <w:highlight w:val="none"/>
                <w:lang w:eastAsia="zh-CN"/>
              </w:rPr>
              <w:t>、</w:t>
            </w:r>
            <w:r>
              <w:rPr>
                <w:rFonts w:hint="eastAsia" w:eastAsia="仿宋_GB2312"/>
                <w:sz w:val="22"/>
                <w:szCs w:val="20"/>
                <w:highlight w:val="none"/>
              </w:rPr>
              <w:t>张宏</w:t>
            </w:r>
            <w:r>
              <w:rPr>
                <w:rFonts w:hint="eastAsia" w:eastAsia="仿宋_GB2312"/>
                <w:sz w:val="22"/>
                <w:szCs w:val="20"/>
                <w:highlight w:val="none"/>
                <w:lang w:eastAsia="zh-CN"/>
              </w:rPr>
              <w:t>、</w:t>
            </w:r>
            <w:r>
              <w:rPr>
                <w:rFonts w:hint="eastAsia" w:eastAsia="仿宋_GB2312"/>
                <w:sz w:val="22"/>
                <w:szCs w:val="20"/>
                <w:highlight w:val="none"/>
              </w:rPr>
              <w:t>余开武</w:t>
            </w:r>
            <w:r>
              <w:rPr>
                <w:rFonts w:hint="eastAsia" w:eastAsia="仿宋_GB2312"/>
                <w:sz w:val="22"/>
                <w:szCs w:val="20"/>
                <w:highlight w:val="none"/>
                <w:lang w:eastAsia="zh-CN"/>
              </w:rPr>
              <w:t>、</w:t>
            </w:r>
            <w:r>
              <w:rPr>
                <w:rFonts w:hint="eastAsia" w:eastAsia="仿宋_GB2312"/>
                <w:sz w:val="22"/>
                <w:szCs w:val="20"/>
                <w:highlight w:val="none"/>
              </w:rPr>
              <w:t>徐洋洋</w:t>
            </w:r>
            <w:r>
              <w:rPr>
                <w:rFonts w:hint="eastAsia" w:eastAsia="仿宋_GB2312"/>
                <w:sz w:val="22"/>
                <w:szCs w:val="20"/>
                <w:highlight w:val="none"/>
                <w:lang w:eastAsia="zh-CN"/>
              </w:rPr>
              <w:t>、</w:t>
            </w:r>
            <w:r>
              <w:rPr>
                <w:rFonts w:hint="eastAsia" w:eastAsia="仿宋_GB2312"/>
                <w:sz w:val="22"/>
                <w:szCs w:val="20"/>
                <w:highlight w:val="none"/>
              </w:rPr>
              <w:t>田梅</w:t>
            </w:r>
            <w:r>
              <w:rPr>
                <w:rFonts w:hint="eastAsia" w:eastAsia="仿宋_GB2312"/>
                <w:sz w:val="22"/>
                <w:szCs w:val="20"/>
                <w:highlight w:val="none"/>
                <w:lang w:eastAsia="zh-CN"/>
              </w:rPr>
              <w:t>、</w:t>
            </w:r>
            <w:r>
              <w:rPr>
                <w:rFonts w:hint="eastAsia" w:eastAsia="仿宋_GB2312"/>
                <w:sz w:val="22"/>
                <w:szCs w:val="20"/>
                <w:highlight w:val="none"/>
              </w:rPr>
              <w:t>张锦明</w:t>
            </w:r>
            <w:r>
              <w:rPr>
                <w:rFonts w:hint="eastAsia" w:eastAsia="仿宋_GB2312"/>
                <w:sz w:val="22"/>
                <w:szCs w:val="20"/>
                <w:highlight w:val="none"/>
                <w:lang w:eastAsia="zh-CN"/>
              </w:rPr>
              <w:t>、</w:t>
            </w:r>
            <w:r>
              <w:rPr>
                <w:rFonts w:hint="eastAsia" w:eastAsia="仿宋_GB2312"/>
                <w:sz w:val="22"/>
                <w:szCs w:val="20"/>
                <w:highlight w:val="none"/>
              </w:rPr>
              <w:t>周彤</w:t>
            </w:r>
            <w:r>
              <w:rPr>
                <w:rFonts w:hint="eastAsia" w:eastAsia="仿宋_GB2312"/>
                <w:sz w:val="22"/>
                <w:szCs w:val="20"/>
                <w:highlight w:val="none"/>
                <w:lang w:eastAsia="zh-CN"/>
              </w:rPr>
              <w:t>，</w:t>
            </w:r>
            <w:r>
              <w:rPr>
                <w:rFonts w:hint="eastAsia" w:eastAsia="仿宋_GB2312"/>
                <w:sz w:val="22"/>
                <w:szCs w:val="20"/>
                <w:highlight w:val="none"/>
                <w:lang w:val="en-US" w:eastAsia="zh-CN"/>
              </w:rPr>
              <w:t>授权日期：2023-09-15.</w:t>
            </w:r>
          </w:p>
          <w:p w14:paraId="5725CA46">
            <w:pPr>
              <w:numPr>
                <w:ilvl w:val="0"/>
                <w:numId w:val="0"/>
              </w:numPr>
              <w:spacing w:line="240" w:lineRule="auto"/>
              <w:jc w:val="both"/>
              <w:rPr>
                <w:rFonts w:hint="default" w:eastAsia="仿宋_GB2312"/>
                <w:b w:val="0"/>
                <w:bCs/>
                <w:sz w:val="22"/>
                <w:szCs w:val="22"/>
                <w:lang w:val="en-US" w:eastAsia="zh-CN"/>
              </w:rPr>
            </w:pPr>
          </w:p>
          <w:p w14:paraId="5890DC39">
            <w:pPr>
              <w:spacing w:line="240" w:lineRule="auto"/>
              <w:jc w:val="both"/>
              <w:rPr>
                <w:rFonts w:eastAsia="仿宋_GB2312"/>
                <w:b/>
                <w:bCs w:val="0"/>
                <w:sz w:val="22"/>
                <w:szCs w:val="22"/>
              </w:rPr>
            </w:pPr>
            <w:r>
              <w:rPr>
                <w:rFonts w:eastAsia="仿宋_GB2312"/>
                <w:b/>
                <w:bCs w:val="0"/>
                <w:sz w:val="22"/>
                <w:szCs w:val="22"/>
              </w:rPr>
              <w:t>代表性论文专著目录</w:t>
            </w:r>
          </w:p>
          <w:p w14:paraId="252A85FE">
            <w:pPr>
              <w:numPr>
                <w:ilvl w:val="0"/>
                <w:numId w:val="2"/>
              </w:numPr>
              <w:spacing w:line="240" w:lineRule="auto"/>
              <w:jc w:val="both"/>
              <w:rPr>
                <w:rFonts w:hint="default" w:eastAsia="仿宋_GB2312"/>
                <w:b/>
                <w:bCs w:val="0"/>
                <w:sz w:val="22"/>
                <w:szCs w:val="22"/>
                <w:lang w:val="en-US" w:eastAsia="zh-CN"/>
              </w:rPr>
            </w:pPr>
            <w:r>
              <w:rPr>
                <w:rFonts w:hint="eastAsia" w:ascii="Times New Roman" w:hAnsi="Times New Roman" w:eastAsia="宋体" w:cs="Times New Roman"/>
                <w:b w:val="0"/>
                <w:bCs w:val="0"/>
                <w:color w:val="auto"/>
                <w:sz w:val="20"/>
                <w:szCs w:val="20"/>
                <w:highlight w:val="none"/>
                <w:lang w:val="en-US" w:eastAsia="zh-CN"/>
              </w:rPr>
              <w:t>Xiao He, Jiadong Chen, Yan Zhong, Peili Cen, Li Shen,</w:t>
            </w:r>
            <w:r>
              <w:rPr>
                <w:rFonts w:hint="eastAsia" w:cs="Times New Roman"/>
                <w:b w:val="0"/>
                <w:bCs w:val="0"/>
                <w:color w:val="auto"/>
                <w:sz w:val="20"/>
                <w:szCs w:val="20"/>
                <w:highlight w:val="none"/>
                <w:lang w:val="en-US" w:eastAsia="zh-CN"/>
              </w:rPr>
              <w:t xml:space="preserve"> </w:t>
            </w:r>
            <w:r>
              <w:rPr>
                <w:rFonts w:hint="eastAsia" w:ascii="Times New Roman" w:hAnsi="Times New Roman" w:eastAsia="宋体" w:cs="Times New Roman"/>
                <w:b w:val="0"/>
                <w:bCs w:val="0"/>
                <w:color w:val="auto"/>
                <w:sz w:val="20"/>
                <w:szCs w:val="20"/>
                <w:highlight w:val="none"/>
                <w:lang w:val="en-US" w:eastAsia="zh-CN"/>
              </w:rPr>
              <w:t>Fei Huang, JingWang, Chentao Jin, Rui Zhou, Xiaohui Zhang</w:t>
            </w:r>
            <w:r>
              <w:rPr>
                <w:rFonts w:hint="eastAsia" w:cs="Times New Roman"/>
                <w:b w:val="0"/>
                <w:bCs w:val="0"/>
                <w:color w:val="auto"/>
                <w:sz w:val="20"/>
                <w:szCs w:val="20"/>
                <w:highlight w:val="none"/>
                <w:lang w:val="en-US" w:eastAsia="zh-CN"/>
              </w:rPr>
              <w:t xml:space="preserve"> </w:t>
            </w:r>
            <w:r>
              <w:rPr>
                <w:rFonts w:hint="eastAsia" w:ascii="Times New Roman" w:hAnsi="Times New Roman" w:eastAsia="宋体" w:cs="Times New Roman"/>
                <w:b w:val="0"/>
                <w:bCs w:val="0"/>
                <w:color w:val="auto"/>
                <w:sz w:val="20"/>
                <w:szCs w:val="20"/>
                <w:highlight w:val="none"/>
                <w:lang w:val="en-US" w:eastAsia="zh-CN"/>
              </w:rPr>
              <w:t>Anxin Wang, Jing Fan, Shuang</w:t>
            </w:r>
            <w:r>
              <w:rPr>
                <w:rFonts w:hint="eastAsia" w:cs="Times New Roman"/>
                <w:b w:val="0"/>
                <w:bCs w:val="0"/>
                <w:color w:val="auto"/>
                <w:sz w:val="20"/>
                <w:szCs w:val="20"/>
                <w:highlight w:val="none"/>
                <w:lang w:val="en-US" w:eastAsia="zh-CN"/>
              </w:rPr>
              <w:t xml:space="preserve"> </w:t>
            </w:r>
            <w:r>
              <w:rPr>
                <w:rFonts w:hint="eastAsia" w:ascii="Times New Roman" w:hAnsi="Times New Roman" w:eastAsia="宋体" w:cs="Times New Roman"/>
                <w:b w:val="0"/>
                <w:bCs w:val="0"/>
                <w:color w:val="auto"/>
                <w:sz w:val="20"/>
                <w:szCs w:val="20"/>
                <w:highlight w:val="none"/>
                <w:lang w:val="en-US" w:eastAsia="zh-CN"/>
              </w:rPr>
              <w:t>Wu, Mengjiao Tu, Xiyi Qin,</w:t>
            </w:r>
            <w:r>
              <w:rPr>
                <w:rFonts w:hint="eastAsia" w:cs="Times New Roman"/>
                <w:b w:val="0"/>
                <w:bCs w:val="0"/>
                <w:color w:val="auto"/>
                <w:sz w:val="20"/>
                <w:szCs w:val="20"/>
                <w:highlight w:val="none"/>
                <w:lang w:val="en-US" w:eastAsia="zh-CN"/>
              </w:rPr>
              <w:t xml:space="preserve"> </w:t>
            </w:r>
            <w:r>
              <w:rPr>
                <w:rFonts w:hint="eastAsia" w:ascii="Times New Roman" w:hAnsi="Times New Roman" w:eastAsia="宋体" w:cs="Times New Roman"/>
                <w:b w:val="0"/>
                <w:bCs w:val="0"/>
                <w:color w:val="auto"/>
                <w:sz w:val="20"/>
                <w:szCs w:val="20"/>
                <w:highlight w:val="none"/>
                <w:lang w:val="en-US" w:eastAsia="zh-CN"/>
              </w:rPr>
              <w:t>Xiaoyun Luo, Yu Zhou, Jieqiao Peng, Youyou Zhou,</w:t>
            </w:r>
            <w:r>
              <w:rPr>
                <w:rFonts w:hint="eastAsia" w:cs="Times New Roman"/>
                <w:b w:val="0"/>
                <w:bCs w:val="0"/>
                <w:color w:val="auto"/>
                <w:sz w:val="20"/>
                <w:szCs w:val="20"/>
                <w:highlight w:val="none"/>
                <w:lang w:val="en-US" w:eastAsia="zh-CN"/>
              </w:rPr>
              <w:t xml:space="preserve"> </w:t>
            </w:r>
            <w:r>
              <w:rPr>
                <w:rFonts w:hint="eastAsia" w:ascii="Times New Roman" w:hAnsi="Times New Roman" w:eastAsia="宋体" w:cs="Times New Roman"/>
                <w:b w:val="0"/>
                <w:bCs w:val="0"/>
                <w:color w:val="auto"/>
                <w:sz w:val="20"/>
                <w:szCs w:val="20"/>
                <w:highlight w:val="none"/>
                <w:lang w:val="en-US" w:eastAsia="zh-CN"/>
              </w:rPr>
              <w:t>A. Cahid Civelek, Mei Tian,</w:t>
            </w:r>
            <w:r>
              <w:rPr>
                <w:rFonts w:hint="eastAsia" w:cs="Times New Roman"/>
                <w:b w:val="0"/>
                <w:bCs w:val="0"/>
                <w:color w:val="auto"/>
                <w:sz w:val="20"/>
                <w:szCs w:val="20"/>
                <w:highlight w:val="none"/>
                <w:lang w:val="en-US" w:eastAsia="zh-CN"/>
              </w:rPr>
              <w:t xml:space="preserve"> </w:t>
            </w:r>
            <w:r>
              <w:rPr>
                <w:rFonts w:hint="eastAsia" w:ascii="Times New Roman" w:hAnsi="Times New Roman" w:eastAsia="宋体" w:cs="Times New Roman"/>
                <w:b w:val="0"/>
                <w:bCs w:val="0"/>
                <w:color w:val="auto"/>
                <w:sz w:val="20"/>
                <w:szCs w:val="20"/>
                <w:highlight w:val="none"/>
                <w:lang w:val="en-US" w:eastAsia="zh-CN"/>
              </w:rPr>
              <w:t>Hong Zhang</w:t>
            </w:r>
            <w:r>
              <w:rPr>
                <w:rFonts w:hint="eastAsia" w:ascii="Times New Roman" w:hAnsi="Times New Roman" w:cs="Times New Roman"/>
                <w:b w:val="0"/>
                <w:bCs w:val="0"/>
                <w:color w:val="auto"/>
                <w:sz w:val="20"/>
                <w:szCs w:val="20"/>
                <w:highlight w:val="none"/>
                <w:lang w:val="en-US" w:eastAsia="zh-CN"/>
              </w:rPr>
              <w:t xml:space="preserve">. </w:t>
            </w:r>
            <w:r>
              <w:rPr>
                <w:rFonts w:hint="eastAsia" w:eastAsia="仿宋_GB2312"/>
                <w:b w:val="0"/>
                <w:bCs w:val="0"/>
                <w:sz w:val="22"/>
                <w:szCs w:val="22"/>
                <w:lang w:val="en-US" w:eastAsia="zh-CN"/>
              </w:rPr>
              <w:t>Forebrain neural progenitors effectively integrate into host brain circuits and improve neural function after ischemic stroke. Nature Communications. 2025;16(1):5132.</w:t>
            </w:r>
          </w:p>
          <w:p w14:paraId="3D1FDE4A">
            <w:pPr>
              <w:numPr>
                <w:ilvl w:val="0"/>
                <w:numId w:val="2"/>
              </w:numPr>
              <w:spacing w:line="240" w:lineRule="auto"/>
              <w:jc w:val="both"/>
              <w:rPr>
                <w:rFonts w:hint="default" w:eastAsia="仿宋_GB2312"/>
                <w:b/>
                <w:bCs w:val="0"/>
                <w:sz w:val="22"/>
                <w:szCs w:val="22"/>
                <w:lang w:val="en-US" w:eastAsia="zh-CN"/>
              </w:rPr>
            </w:pPr>
            <w:r>
              <w:rPr>
                <w:rFonts w:hint="default" w:eastAsia="仿宋_GB2312"/>
                <w:b w:val="0"/>
                <w:bCs/>
                <w:sz w:val="22"/>
                <w:szCs w:val="22"/>
                <w:lang w:val="en-US" w:eastAsia="zh-CN"/>
              </w:rPr>
              <w:t>Mei Tian, Xuexin He, Chentao Jin, Xiao He, Shuang Wu, Rui Zhou, Xiaohui Zhang, Kai Zhang, Weizhong Gu, Jing Wang, Hong Zhang</w:t>
            </w:r>
            <w:r>
              <w:rPr>
                <w:rFonts w:hint="eastAsia" w:eastAsia="仿宋_GB2312"/>
                <w:b w:val="0"/>
                <w:bCs/>
                <w:sz w:val="22"/>
                <w:szCs w:val="22"/>
                <w:lang w:val="en-US" w:eastAsia="zh-CN"/>
              </w:rPr>
              <w:t>. Transpathology: molecular imaging-based pathology. European Journal of Nuclear Medicine and Molecular Imaging. 2021;48(8):2338-2350.</w:t>
            </w:r>
          </w:p>
          <w:p w14:paraId="0BB4652A">
            <w:pPr>
              <w:numPr>
                <w:ilvl w:val="0"/>
                <w:numId w:val="2"/>
              </w:numPr>
              <w:spacing w:line="240" w:lineRule="auto"/>
              <w:jc w:val="both"/>
              <w:rPr>
                <w:rFonts w:hint="default" w:eastAsia="仿宋_GB2312"/>
                <w:b w:val="0"/>
                <w:bCs/>
                <w:sz w:val="22"/>
                <w:szCs w:val="22"/>
                <w:lang w:val="en-US" w:eastAsia="zh-CN"/>
              </w:rPr>
            </w:pPr>
            <w:r>
              <w:rPr>
                <w:rFonts w:hint="default" w:eastAsia="仿宋_GB2312"/>
                <w:b w:val="0"/>
                <w:bCs/>
                <w:sz w:val="22"/>
                <w:szCs w:val="22"/>
                <w:lang w:val="en-US" w:eastAsia="zh-CN"/>
              </w:rPr>
              <w:t>Qinming Zhang, Yi Liao, Xiawan Wang, Teng Zhang, Jianhua Feng, Jianing Deng, Kexin Shi, Lin Chen, Liu Feng, Mindi Ma, Le Xue, Haifeng Hou, Xiaofeng Dou, Congcong Yu, Lei Ren, Yao Ding, Yufei Chen, Shuang Wu, Zexin Chen, Hong Zhang, Cheng Zhuo, Mei Tian.</w:t>
            </w:r>
            <w:r>
              <w:rPr>
                <w:rFonts w:hint="eastAsia" w:eastAsia="仿宋_GB2312"/>
                <w:b w:val="0"/>
                <w:bCs/>
                <w:sz w:val="22"/>
                <w:szCs w:val="22"/>
                <w:lang w:val="en-US" w:eastAsia="zh-CN"/>
              </w:rPr>
              <w:t xml:space="preserve"> A Deep Learning Framework for </w:t>
            </w:r>
            <w:r>
              <w:rPr>
                <w:rFonts w:hint="eastAsia" w:eastAsia="仿宋_GB2312"/>
                <w:b w:val="0"/>
                <w:bCs/>
                <w:sz w:val="22"/>
                <w:szCs w:val="22"/>
                <w:vertAlign w:val="superscript"/>
                <w:lang w:val="en-US" w:eastAsia="zh-CN"/>
              </w:rPr>
              <w:t>18</w:t>
            </w:r>
            <w:r>
              <w:rPr>
                <w:rFonts w:hint="eastAsia" w:eastAsia="仿宋_GB2312"/>
                <w:b w:val="0"/>
                <w:bCs/>
                <w:sz w:val="22"/>
                <w:szCs w:val="22"/>
                <w:lang w:val="en-US" w:eastAsia="zh-CN"/>
              </w:rPr>
              <w:t>F-FDG PET Imaging Diagnosis in Pediatric Patients with Temporal Lobe Epilepsy. European Journal of Nuclear Medicine and Molecular Imaging. 2021;48(8):2476-2485.</w:t>
            </w:r>
          </w:p>
          <w:p w14:paraId="57B55F88">
            <w:pPr>
              <w:numPr>
                <w:ilvl w:val="0"/>
                <w:numId w:val="2"/>
              </w:numPr>
              <w:spacing w:line="240" w:lineRule="auto"/>
              <w:jc w:val="both"/>
              <w:rPr>
                <w:rFonts w:hint="default" w:eastAsia="仿宋_GB2312"/>
                <w:b/>
                <w:bCs w:val="0"/>
                <w:sz w:val="24"/>
                <w:szCs w:val="24"/>
                <w:lang w:val="en-US" w:eastAsia="zh-CN"/>
              </w:rPr>
            </w:pPr>
            <w:r>
              <w:rPr>
                <w:rFonts w:hint="default" w:eastAsia="仿宋_GB2312"/>
                <w:b w:val="0"/>
                <w:bCs/>
                <w:sz w:val="22"/>
                <w:szCs w:val="22"/>
                <w:lang w:val="en-US" w:eastAsia="zh-CN"/>
              </w:rPr>
              <w:t>Mei Tian, A</w:t>
            </w:r>
            <w:r>
              <w:rPr>
                <w:rFonts w:hint="eastAsia" w:eastAsia="仿宋_GB2312"/>
                <w:b w:val="0"/>
                <w:bCs/>
                <w:sz w:val="22"/>
                <w:szCs w:val="22"/>
                <w:lang w:val="en-US" w:eastAsia="zh-CN"/>
              </w:rPr>
              <w:t>.</w:t>
            </w:r>
            <w:r>
              <w:rPr>
                <w:rFonts w:hint="default" w:eastAsia="仿宋_GB2312"/>
                <w:b w:val="0"/>
                <w:bCs/>
                <w:sz w:val="22"/>
                <w:szCs w:val="22"/>
                <w:lang w:val="en-US" w:eastAsia="zh-CN"/>
              </w:rPr>
              <w:t xml:space="preserve"> Cahid Civelek, Ignasi Carrio, Yasuyoshi Watanabe, Keon Wook Kang, Koji Murakami, Valentina Garibotto, John O</w:t>
            </w:r>
            <w:r>
              <w:rPr>
                <w:rFonts w:hint="eastAsia" w:eastAsia="仿宋_GB2312"/>
                <w:b w:val="0"/>
                <w:bCs/>
                <w:sz w:val="22"/>
                <w:szCs w:val="22"/>
                <w:lang w:val="en-US" w:eastAsia="zh-CN"/>
              </w:rPr>
              <w:t>.</w:t>
            </w:r>
            <w:r>
              <w:rPr>
                <w:rFonts w:hint="default" w:eastAsia="仿宋_GB2312"/>
                <w:b w:val="0"/>
                <w:bCs/>
                <w:sz w:val="22"/>
                <w:szCs w:val="22"/>
                <w:lang w:val="en-US" w:eastAsia="zh-CN"/>
              </w:rPr>
              <w:t xml:space="preserve"> Prior, Henryk Barthel, Rui Zhou, Haifeng Hou, Xiaofeng Dou, Chentao Jin, Chuantao Zuo, Hong Zhang; Molecular Imaging-based Precision Medicine Task Group of A3 (China-Japan-Korea) Foresight Program</w:t>
            </w:r>
            <w:r>
              <w:rPr>
                <w:rFonts w:hint="eastAsia" w:eastAsia="仿宋_GB2312"/>
                <w:b w:val="0"/>
                <w:bCs/>
                <w:sz w:val="22"/>
                <w:szCs w:val="22"/>
                <w:lang w:val="en-US" w:eastAsia="zh-CN"/>
              </w:rPr>
              <w:t xml:space="preserve">. International consensus on the use of tau PET imaging agent </w:t>
            </w:r>
            <w:r>
              <w:rPr>
                <w:rFonts w:hint="eastAsia" w:eastAsia="仿宋_GB2312"/>
                <w:b w:val="0"/>
                <w:bCs/>
                <w:sz w:val="22"/>
                <w:szCs w:val="22"/>
                <w:vertAlign w:val="superscript"/>
                <w:lang w:val="en-US" w:eastAsia="zh-CN"/>
              </w:rPr>
              <w:t>18</w:t>
            </w:r>
            <w:r>
              <w:rPr>
                <w:rFonts w:hint="eastAsia" w:eastAsia="仿宋_GB2312"/>
                <w:b w:val="0"/>
                <w:bCs/>
                <w:sz w:val="22"/>
                <w:szCs w:val="22"/>
                <w:lang w:val="en-US" w:eastAsia="zh-CN"/>
              </w:rPr>
              <w:t>F-flortaucipir in Alzheimer's disease. European Journal of Nuclear Medicine and Molecular Imaging. 2022;49(3):895-904.</w:t>
            </w:r>
          </w:p>
        </w:tc>
      </w:tr>
      <w:tr w14:paraId="7795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2C0EC822">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069B9C05">
            <w:pPr>
              <w:spacing w:line="440" w:lineRule="exact"/>
              <w:rPr>
                <w:rFonts w:eastAsia="仿宋_GB2312"/>
                <w:bCs/>
                <w:sz w:val="22"/>
                <w:szCs w:val="22"/>
              </w:rPr>
            </w:pPr>
            <w:r>
              <w:rPr>
                <w:rFonts w:hint="eastAsia" w:eastAsia="仿宋_GB2312"/>
                <w:bCs/>
                <w:sz w:val="22"/>
                <w:szCs w:val="22"/>
                <w:lang w:val="en-US" w:eastAsia="zh-CN"/>
              </w:rPr>
              <w:t>张宏</w:t>
            </w:r>
            <w:r>
              <w:rPr>
                <w:rFonts w:eastAsia="仿宋_GB2312"/>
                <w:bCs/>
                <w:sz w:val="22"/>
                <w:szCs w:val="22"/>
              </w:rPr>
              <w:t>，排名1，</w:t>
            </w:r>
            <w:r>
              <w:rPr>
                <w:rFonts w:hint="eastAsia" w:eastAsia="仿宋_GB2312"/>
                <w:bCs/>
                <w:sz w:val="22"/>
                <w:szCs w:val="22"/>
                <w:lang w:val="en-US" w:eastAsia="zh-CN"/>
              </w:rPr>
              <w:t>教授</w:t>
            </w:r>
            <w:r>
              <w:rPr>
                <w:rFonts w:eastAsia="仿宋_GB2312"/>
                <w:bCs/>
                <w:sz w:val="22"/>
                <w:szCs w:val="22"/>
              </w:rPr>
              <w:t>，</w:t>
            </w:r>
            <w:r>
              <w:rPr>
                <w:rFonts w:hint="eastAsia" w:eastAsia="仿宋_GB2312"/>
                <w:bCs/>
                <w:sz w:val="22"/>
                <w:szCs w:val="22"/>
                <w:lang w:val="en-US" w:eastAsia="zh-CN"/>
              </w:rPr>
              <w:t>浙江省肿瘤医院</w:t>
            </w:r>
            <w:r>
              <w:rPr>
                <w:rFonts w:eastAsia="仿宋_GB2312"/>
                <w:bCs/>
                <w:sz w:val="22"/>
                <w:szCs w:val="22"/>
              </w:rPr>
              <w:t>；</w:t>
            </w:r>
          </w:p>
          <w:p w14:paraId="0BB43414">
            <w:pPr>
              <w:spacing w:line="440" w:lineRule="exact"/>
              <w:rPr>
                <w:rFonts w:eastAsia="仿宋_GB2312"/>
                <w:bCs/>
                <w:sz w:val="22"/>
                <w:szCs w:val="22"/>
              </w:rPr>
            </w:pPr>
            <w:r>
              <w:rPr>
                <w:rFonts w:hint="eastAsia" w:eastAsia="仿宋_GB2312"/>
                <w:bCs/>
                <w:sz w:val="22"/>
                <w:szCs w:val="22"/>
                <w:lang w:val="en-US" w:eastAsia="zh-CN"/>
              </w:rPr>
              <w:t>田梅</w:t>
            </w:r>
            <w:r>
              <w:rPr>
                <w:rFonts w:eastAsia="仿宋_GB2312"/>
                <w:bCs/>
                <w:sz w:val="22"/>
                <w:szCs w:val="22"/>
              </w:rPr>
              <w:t>，排名2，</w:t>
            </w:r>
            <w:r>
              <w:rPr>
                <w:rFonts w:hint="eastAsia" w:eastAsia="仿宋_GB2312"/>
                <w:bCs/>
                <w:sz w:val="22"/>
                <w:szCs w:val="22"/>
                <w:lang w:val="en-US" w:eastAsia="zh-CN"/>
              </w:rPr>
              <w:t>教授</w:t>
            </w:r>
            <w:r>
              <w:rPr>
                <w:rFonts w:eastAsia="仿宋_GB2312"/>
                <w:bCs/>
                <w:sz w:val="22"/>
                <w:szCs w:val="22"/>
              </w:rPr>
              <w:t>，</w:t>
            </w:r>
            <w:r>
              <w:rPr>
                <w:rFonts w:hint="eastAsia" w:eastAsia="仿宋_GB2312"/>
                <w:bCs/>
                <w:sz w:val="22"/>
                <w:szCs w:val="22"/>
                <w:lang w:val="en-US" w:eastAsia="zh-CN"/>
              </w:rPr>
              <w:t>复旦大学</w:t>
            </w:r>
            <w:r>
              <w:rPr>
                <w:rFonts w:eastAsia="仿宋_GB2312"/>
                <w:bCs/>
                <w:sz w:val="22"/>
                <w:szCs w:val="22"/>
              </w:rPr>
              <w:t>；</w:t>
            </w:r>
          </w:p>
          <w:p w14:paraId="201B2340">
            <w:pPr>
              <w:spacing w:line="440" w:lineRule="exact"/>
              <w:rPr>
                <w:rFonts w:eastAsia="仿宋_GB2312"/>
                <w:bCs/>
                <w:sz w:val="22"/>
                <w:szCs w:val="22"/>
              </w:rPr>
            </w:pPr>
            <w:r>
              <w:rPr>
                <w:rFonts w:hint="eastAsia" w:eastAsia="仿宋_GB2312"/>
                <w:bCs/>
                <w:sz w:val="22"/>
                <w:szCs w:val="22"/>
                <w:lang w:val="en-US" w:eastAsia="zh-CN"/>
              </w:rPr>
              <w:t>王菁</w:t>
            </w:r>
            <w:r>
              <w:rPr>
                <w:rFonts w:eastAsia="仿宋_GB2312"/>
                <w:bCs/>
                <w:sz w:val="22"/>
                <w:szCs w:val="22"/>
              </w:rPr>
              <w:t>，排名3，</w:t>
            </w:r>
            <w:r>
              <w:rPr>
                <w:rFonts w:hint="eastAsia" w:eastAsia="仿宋_GB2312"/>
                <w:bCs/>
                <w:sz w:val="22"/>
                <w:szCs w:val="22"/>
                <w:lang w:val="en-US" w:eastAsia="zh-CN"/>
              </w:rPr>
              <w:t>实验师</w:t>
            </w:r>
            <w:r>
              <w:rPr>
                <w:rFonts w:eastAsia="仿宋_GB2312"/>
                <w:bCs/>
                <w:sz w:val="22"/>
                <w:szCs w:val="22"/>
              </w:rPr>
              <w:t>，</w:t>
            </w:r>
            <w:r>
              <w:rPr>
                <w:rFonts w:hint="eastAsia" w:eastAsia="仿宋_GB2312"/>
                <w:bCs/>
                <w:sz w:val="22"/>
                <w:szCs w:val="22"/>
                <w:lang w:val="en-US" w:eastAsia="zh-CN"/>
              </w:rPr>
              <w:t>浙江大学医学院附属第二医院</w:t>
            </w:r>
            <w:r>
              <w:rPr>
                <w:rFonts w:eastAsia="仿宋_GB2312"/>
                <w:bCs/>
                <w:sz w:val="22"/>
                <w:szCs w:val="22"/>
              </w:rPr>
              <w:t>；</w:t>
            </w:r>
          </w:p>
          <w:p w14:paraId="4FB01325">
            <w:pPr>
              <w:spacing w:line="440" w:lineRule="exact"/>
              <w:rPr>
                <w:rFonts w:hint="eastAsia" w:eastAsia="仿宋_GB2312"/>
                <w:bCs/>
                <w:sz w:val="22"/>
                <w:szCs w:val="22"/>
                <w:lang w:val="en-US" w:eastAsia="zh-CN"/>
              </w:rPr>
            </w:pPr>
            <w:r>
              <w:rPr>
                <w:rFonts w:hint="eastAsia" w:eastAsia="仿宋_GB2312"/>
                <w:bCs/>
                <w:sz w:val="22"/>
                <w:szCs w:val="22"/>
                <w:lang w:val="en-US" w:eastAsia="zh-CN"/>
              </w:rPr>
              <w:t>钟燕，排名4，特聘副研究员，浙江大学；</w:t>
            </w:r>
          </w:p>
          <w:p w14:paraId="5ACCE170">
            <w:pPr>
              <w:spacing w:line="440" w:lineRule="exact"/>
              <w:rPr>
                <w:rFonts w:hint="default" w:eastAsia="仿宋_GB2312"/>
                <w:bCs/>
                <w:sz w:val="22"/>
                <w:szCs w:val="22"/>
                <w:lang w:val="en-US" w:eastAsia="zh-CN"/>
              </w:rPr>
            </w:pPr>
            <w:r>
              <w:rPr>
                <w:rFonts w:hint="eastAsia" w:eastAsia="仿宋_GB2312"/>
                <w:bCs/>
                <w:sz w:val="22"/>
                <w:szCs w:val="22"/>
                <w:lang w:val="en-US" w:eastAsia="zh-CN"/>
              </w:rPr>
              <w:t>张晓辉，排名5，主治医师，浙江省肿瘤医院；</w:t>
            </w:r>
          </w:p>
          <w:p w14:paraId="1D236F43">
            <w:pPr>
              <w:spacing w:line="440" w:lineRule="exact"/>
              <w:rPr>
                <w:rFonts w:hint="eastAsia" w:eastAsia="仿宋_GB2312"/>
                <w:bCs/>
                <w:sz w:val="22"/>
                <w:szCs w:val="22"/>
                <w:lang w:val="en-US" w:eastAsia="zh-CN"/>
              </w:rPr>
            </w:pPr>
            <w:r>
              <w:rPr>
                <w:rFonts w:hint="eastAsia" w:eastAsia="仿宋_GB2312"/>
                <w:bCs/>
                <w:sz w:val="22"/>
                <w:szCs w:val="22"/>
                <w:lang w:val="en-US" w:eastAsia="zh-CN"/>
              </w:rPr>
              <w:t>周瑞，排名6，主治医师，浙江省肿瘤医院；</w:t>
            </w:r>
          </w:p>
          <w:p w14:paraId="22E12A29">
            <w:pPr>
              <w:spacing w:line="440" w:lineRule="exact"/>
              <w:rPr>
                <w:rFonts w:eastAsia="仿宋_GB2312"/>
                <w:bCs/>
                <w:sz w:val="22"/>
                <w:szCs w:val="22"/>
              </w:rPr>
            </w:pPr>
            <w:r>
              <w:rPr>
                <w:rFonts w:hint="eastAsia" w:eastAsia="仿宋_GB2312"/>
                <w:bCs/>
                <w:sz w:val="22"/>
                <w:szCs w:val="22"/>
                <w:lang w:val="en-US" w:eastAsia="zh-CN"/>
              </w:rPr>
              <w:t>金晨涛，排名7，主治医师，浙江大学医学院附属第二医院</w:t>
            </w:r>
            <w:r>
              <w:rPr>
                <w:rFonts w:eastAsia="仿宋_GB2312"/>
                <w:bCs/>
                <w:sz w:val="22"/>
                <w:szCs w:val="22"/>
              </w:rPr>
              <w:t>；</w:t>
            </w:r>
          </w:p>
          <w:p w14:paraId="465A78D7">
            <w:pPr>
              <w:spacing w:line="440" w:lineRule="exact"/>
              <w:rPr>
                <w:rFonts w:eastAsia="仿宋_GB2312"/>
                <w:bCs/>
                <w:sz w:val="22"/>
                <w:szCs w:val="22"/>
              </w:rPr>
            </w:pPr>
            <w:r>
              <w:rPr>
                <w:rFonts w:hint="eastAsia" w:eastAsia="仿宋_GB2312"/>
                <w:bCs/>
                <w:sz w:val="22"/>
                <w:szCs w:val="22"/>
                <w:lang w:val="en-US" w:eastAsia="zh-CN"/>
              </w:rPr>
              <w:t>于聪聪，排名8，主治医师，浙江大学医学院附属第二医院</w:t>
            </w:r>
            <w:r>
              <w:rPr>
                <w:rFonts w:eastAsia="仿宋_GB2312"/>
                <w:bCs/>
                <w:sz w:val="22"/>
                <w:szCs w:val="22"/>
              </w:rPr>
              <w:t>；</w:t>
            </w:r>
          </w:p>
          <w:p w14:paraId="4FCF6BCB">
            <w:pPr>
              <w:spacing w:line="440" w:lineRule="exact"/>
              <w:rPr>
                <w:rFonts w:eastAsia="仿宋_GB2312"/>
                <w:bCs/>
                <w:sz w:val="22"/>
                <w:szCs w:val="22"/>
              </w:rPr>
            </w:pPr>
            <w:r>
              <w:rPr>
                <w:rFonts w:hint="eastAsia" w:eastAsia="仿宋_GB2312"/>
                <w:bCs/>
                <w:sz w:val="22"/>
                <w:szCs w:val="22"/>
                <w:lang w:val="en-US" w:eastAsia="zh-CN"/>
              </w:rPr>
              <w:t>豆晓锋，排名9，主治医师，浙江大学医学院附属第二医院</w:t>
            </w:r>
            <w:r>
              <w:rPr>
                <w:rFonts w:eastAsia="仿宋_GB2312"/>
                <w:bCs/>
                <w:sz w:val="22"/>
                <w:szCs w:val="22"/>
              </w:rPr>
              <w:t>；</w:t>
            </w:r>
          </w:p>
          <w:p w14:paraId="0B4D4FB8">
            <w:pPr>
              <w:spacing w:line="440" w:lineRule="exact"/>
              <w:rPr>
                <w:rFonts w:hint="eastAsia" w:eastAsia="仿宋_GB2312"/>
                <w:bCs/>
                <w:sz w:val="22"/>
                <w:szCs w:val="22"/>
                <w:lang w:val="en-US" w:eastAsia="zh-CN"/>
              </w:rPr>
            </w:pPr>
            <w:r>
              <w:rPr>
                <w:rFonts w:hint="eastAsia" w:eastAsia="仿宋_GB2312"/>
                <w:bCs/>
                <w:sz w:val="22"/>
                <w:szCs w:val="22"/>
                <w:lang w:val="en-US" w:eastAsia="zh-CN"/>
              </w:rPr>
              <w:t>潘建章，排名10，副研究员，浙江大学；</w:t>
            </w:r>
          </w:p>
          <w:p w14:paraId="3662D68C">
            <w:pPr>
              <w:spacing w:line="440" w:lineRule="exact"/>
              <w:rPr>
                <w:rFonts w:hint="eastAsia" w:eastAsia="仿宋_GB2312"/>
                <w:bCs/>
                <w:sz w:val="22"/>
                <w:szCs w:val="22"/>
                <w:lang w:val="en-US" w:eastAsia="zh-CN"/>
              </w:rPr>
            </w:pPr>
            <w:r>
              <w:rPr>
                <w:rFonts w:hint="eastAsia" w:eastAsia="仿宋_GB2312"/>
                <w:bCs/>
                <w:sz w:val="22"/>
                <w:szCs w:val="22"/>
                <w:lang w:val="en-US" w:eastAsia="zh-CN"/>
              </w:rPr>
              <w:t>和庆钢，排名11，研究员，浙江大学；</w:t>
            </w:r>
          </w:p>
          <w:p w14:paraId="4620251F">
            <w:pPr>
              <w:spacing w:line="440" w:lineRule="exact"/>
              <w:rPr>
                <w:rFonts w:hint="default" w:eastAsia="仿宋_GB2312"/>
                <w:bCs/>
                <w:sz w:val="24"/>
                <w:szCs w:val="24"/>
                <w:lang w:val="en-US" w:eastAsia="zh-CN"/>
              </w:rPr>
            </w:pPr>
            <w:r>
              <w:rPr>
                <w:rFonts w:hint="eastAsia" w:eastAsia="仿宋_GB2312"/>
                <w:bCs/>
                <w:sz w:val="22"/>
                <w:szCs w:val="22"/>
                <w:lang w:val="en-US" w:eastAsia="zh-CN"/>
              </w:rPr>
              <w:t>周彤，排名12，无，派特（北京）科技有限公司。</w:t>
            </w:r>
          </w:p>
        </w:tc>
      </w:tr>
      <w:tr w14:paraId="02309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43B38A18">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2B710D75">
            <w:pPr>
              <w:spacing w:line="440" w:lineRule="exact"/>
              <w:jc w:val="left"/>
              <w:rPr>
                <w:rFonts w:hint="eastAsia" w:eastAsia="仿宋_GB2312"/>
                <w:bCs/>
                <w:sz w:val="24"/>
                <w:szCs w:val="24"/>
                <w:lang w:eastAsia="zh-CN"/>
              </w:rPr>
            </w:pPr>
            <w:r>
              <w:rPr>
                <w:rFonts w:eastAsia="仿宋_GB2312"/>
                <w:bCs/>
                <w:sz w:val="24"/>
                <w:szCs w:val="24"/>
              </w:rPr>
              <w:t>1.</w:t>
            </w:r>
            <w:r>
              <w:rPr>
                <w:rFonts w:hint="eastAsia" w:eastAsia="仿宋_GB2312"/>
                <w:bCs/>
                <w:sz w:val="24"/>
                <w:szCs w:val="24"/>
                <w:lang w:val="en-US" w:eastAsia="zh-CN"/>
              </w:rPr>
              <w:t>浙江大学</w:t>
            </w:r>
            <w:r>
              <w:rPr>
                <w:rFonts w:hint="eastAsia" w:eastAsia="仿宋_GB2312"/>
                <w:bCs/>
                <w:sz w:val="24"/>
                <w:szCs w:val="24"/>
                <w:lang w:eastAsia="zh-CN"/>
              </w:rPr>
              <w:t>；</w:t>
            </w:r>
          </w:p>
          <w:p w14:paraId="24DC986A">
            <w:pPr>
              <w:spacing w:line="440" w:lineRule="exact"/>
              <w:jc w:val="left"/>
              <w:rPr>
                <w:rFonts w:hint="eastAsia" w:eastAsia="仿宋_GB2312"/>
                <w:bCs/>
                <w:sz w:val="24"/>
                <w:szCs w:val="24"/>
                <w:lang w:eastAsia="zh-CN"/>
              </w:rPr>
            </w:pPr>
            <w:r>
              <w:rPr>
                <w:rFonts w:eastAsia="仿宋_GB2312"/>
                <w:bCs/>
                <w:sz w:val="24"/>
                <w:szCs w:val="24"/>
              </w:rPr>
              <w:t>2.</w:t>
            </w:r>
            <w:r>
              <w:rPr>
                <w:rFonts w:hint="eastAsia" w:eastAsia="仿宋_GB2312"/>
                <w:bCs/>
                <w:sz w:val="24"/>
                <w:szCs w:val="24"/>
                <w:lang w:val="en-US" w:eastAsia="zh-CN"/>
              </w:rPr>
              <w:t>浙江大学医学院附属第二医院</w:t>
            </w:r>
            <w:r>
              <w:rPr>
                <w:rFonts w:hint="eastAsia" w:eastAsia="仿宋_GB2312"/>
                <w:bCs/>
                <w:sz w:val="24"/>
                <w:szCs w:val="24"/>
                <w:lang w:eastAsia="zh-CN"/>
              </w:rPr>
              <w:t>；</w:t>
            </w:r>
          </w:p>
          <w:p w14:paraId="2BC1BA7C">
            <w:pPr>
              <w:spacing w:line="440" w:lineRule="exact"/>
              <w:jc w:val="left"/>
              <w:rPr>
                <w:rFonts w:hint="default" w:eastAsia="仿宋"/>
                <w:bCs/>
                <w:sz w:val="24"/>
                <w:szCs w:val="24"/>
                <w:lang w:val="en-US" w:eastAsia="zh-CN"/>
              </w:rPr>
            </w:pPr>
            <w:r>
              <w:rPr>
                <w:rFonts w:eastAsia="仿宋_GB2312"/>
                <w:bCs/>
                <w:sz w:val="24"/>
                <w:szCs w:val="24"/>
              </w:rPr>
              <w:t>3.</w:t>
            </w:r>
            <w:r>
              <w:rPr>
                <w:rFonts w:hint="eastAsia" w:eastAsia="仿宋_GB2312"/>
                <w:bCs/>
                <w:sz w:val="22"/>
                <w:szCs w:val="22"/>
                <w:lang w:val="en-US" w:eastAsia="zh-CN"/>
              </w:rPr>
              <w:t>派特（北京）科技有限公司。</w:t>
            </w:r>
          </w:p>
        </w:tc>
      </w:tr>
      <w:tr w14:paraId="06B8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3E036A44">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6237" w:type="dxa"/>
            <w:vAlign w:val="center"/>
          </w:tcPr>
          <w:p w14:paraId="120E06DA">
            <w:pPr>
              <w:contextualSpacing/>
              <w:jc w:val="center"/>
              <w:rPr>
                <w:rStyle w:val="6"/>
                <w:rFonts w:hint="eastAsia" w:eastAsia="宋体"/>
                <w:b w:val="0"/>
                <w:color w:val="auto"/>
                <w:lang w:val="en-US" w:eastAsia="zh-CN"/>
              </w:rPr>
            </w:pPr>
            <w:r>
              <w:rPr>
                <w:rStyle w:val="6"/>
                <w:rFonts w:hint="eastAsia" w:ascii="仿宋" w:hAnsi="仿宋" w:eastAsia="仿宋" w:cs="仿宋"/>
                <w:b w:val="0"/>
                <w:color w:val="auto"/>
                <w:lang w:val="en-US" w:eastAsia="zh-CN"/>
              </w:rPr>
              <w:t>浙江大学</w:t>
            </w:r>
          </w:p>
        </w:tc>
      </w:tr>
      <w:tr w14:paraId="5FE0F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1E593D80">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6237" w:type="dxa"/>
            <w:vAlign w:val="center"/>
          </w:tcPr>
          <w:p w14:paraId="5F9C2264">
            <w:pPr>
              <w:ind w:firstLine="440" w:firstLineChars="200"/>
              <w:contextualSpacing/>
              <w:jc w:val="both"/>
              <w:rPr>
                <w:rStyle w:val="6"/>
                <w:rFonts w:hint="eastAsia" w:ascii="仿宋" w:hAnsi="仿宋" w:eastAsia="仿宋" w:cs="仿宋"/>
                <w:b w:val="0"/>
                <w:color w:val="auto"/>
                <w:sz w:val="22"/>
                <w:szCs w:val="22"/>
              </w:rPr>
            </w:pPr>
            <w:r>
              <w:rPr>
                <w:rStyle w:val="6"/>
                <w:rFonts w:hint="eastAsia" w:ascii="仿宋" w:hAnsi="仿宋" w:eastAsia="仿宋" w:cs="仿宋"/>
                <w:b w:val="0"/>
                <w:color w:val="auto"/>
                <w:sz w:val="22"/>
                <w:szCs w:val="22"/>
              </w:rPr>
              <w:t>该项目针对重大疾病精准诊治需求，围绕正电子发射断层（PET）分子影像探针制备关键技术及系统研发，在连续快速合成、多功能一体化制备、关键设备国产化、原创性探针研发、PET分子影像诊断技术创新等方面，通过医工信交叉、产学研合作，成功研制国产化PET分子影像探针合成制备技术体系；项目开拓了一个新方向----基于微流控技术的PET分子影像探针合成制备系统的创制；提出了一个新理论----基于分子影像的“透明病理”理论创新；开创了一个新领域----引领国产化PET分子影像探针制备的研发，打破了高端PET分子影像探针合成制备系统高度依赖进口的现状，推动我国医学高端装备国产化，实现了我国专用核心部件和系列产品自主创新的跨越发展，加速了我国PET分子影像探针原创性研发，从而整体提高我国PET分子影像临床实践，支撑重大疾病的精准诊治，对创制高端医疗设备和提高我国重大疾病防治水平具有重大意义。</w:t>
            </w:r>
          </w:p>
          <w:p w14:paraId="507D3583">
            <w:pPr>
              <w:ind w:firstLine="440" w:firstLineChars="200"/>
              <w:contextualSpacing/>
              <w:jc w:val="both"/>
              <w:rPr>
                <w:rStyle w:val="6"/>
                <w:rFonts w:hint="eastAsia" w:ascii="仿宋" w:hAnsi="仿宋" w:eastAsia="仿宋" w:cs="仿宋"/>
                <w:b w:val="0"/>
                <w:color w:val="auto"/>
                <w:sz w:val="22"/>
                <w:szCs w:val="22"/>
              </w:rPr>
            </w:pPr>
            <w:r>
              <w:rPr>
                <w:rStyle w:val="6"/>
                <w:rFonts w:hint="eastAsia" w:ascii="仿宋" w:hAnsi="仿宋" w:eastAsia="仿宋" w:cs="仿宋"/>
                <w:b w:val="0"/>
                <w:color w:val="auto"/>
                <w:sz w:val="22"/>
                <w:szCs w:val="22"/>
              </w:rPr>
              <w:t>项目发表高水平论文</w:t>
            </w:r>
            <w:r>
              <w:rPr>
                <w:rStyle w:val="6"/>
                <w:rFonts w:hint="eastAsia" w:ascii="仿宋" w:hAnsi="仿宋" w:eastAsia="仿宋" w:cs="仿宋"/>
                <w:b w:val="0"/>
                <w:color w:val="auto"/>
                <w:sz w:val="22"/>
                <w:szCs w:val="22"/>
                <w:lang w:val="en-US" w:eastAsia="zh-CN"/>
              </w:rPr>
              <w:t>77</w:t>
            </w:r>
            <w:r>
              <w:rPr>
                <w:rStyle w:val="6"/>
                <w:rFonts w:hint="eastAsia" w:ascii="仿宋" w:hAnsi="仿宋" w:eastAsia="仿宋" w:cs="仿宋"/>
                <w:b w:val="0"/>
                <w:color w:val="auto"/>
                <w:sz w:val="22"/>
                <w:szCs w:val="22"/>
              </w:rPr>
              <w:t>篇，成果授权知识产权24项，其中发明专利20项、实用新型专利4项；获日内瓦国际发明展金奖、全国发明展览会金奖、黄家驷生物医学工程奖、中国感光学会科学技术进步一等奖；销售制备系统</w:t>
            </w:r>
            <w:r>
              <w:rPr>
                <w:rStyle w:val="6"/>
                <w:rFonts w:hint="eastAsia" w:ascii="仿宋" w:hAnsi="仿宋" w:eastAsia="仿宋" w:cs="仿宋"/>
                <w:b w:val="0"/>
                <w:color w:val="auto"/>
                <w:sz w:val="22"/>
                <w:szCs w:val="22"/>
                <w:lang w:val="en-US" w:eastAsia="zh-CN"/>
              </w:rPr>
              <w:t>285</w:t>
            </w:r>
            <w:r>
              <w:rPr>
                <w:rStyle w:val="6"/>
                <w:rFonts w:hint="eastAsia" w:ascii="仿宋" w:hAnsi="仿宋" w:eastAsia="仿宋" w:cs="仿宋"/>
                <w:b w:val="0"/>
                <w:color w:val="auto"/>
                <w:sz w:val="22"/>
                <w:szCs w:val="22"/>
              </w:rPr>
              <w:t>台和试剂盒</w:t>
            </w:r>
            <w:r>
              <w:rPr>
                <w:rStyle w:val="6"/>
                <w:rFonts w:hint="eastAsia" w:ascii="仿宋" w:hAnsi="仿宋" w:eastAsia="仿宋" w:cs="仿宋"/>
                <w:b w:val="0"/>
                <w:color w:val="auto"/>
                <w:sz w:val="22"/>
                <w:szCs w:val="22"/>
                <w:lang w:val="en-US" w:eastAsia="zh-CN"/>
              </w:rPr>
              <w:t>4</w:t>
            </w:r>
            <w:r>
              <w:rPr>
                <w:rStyle w:val="6"/>
                <w:rFonts w:hint="eastAsia" w:ascii="仿宋" w:hAnsi="仿宋" w:eastAsia="仿宋" w:cs="仿宋"/>
                <w:b w:val="0"/>
                <w:color w:val="auto"/>
                <w:sz w:val="22"/>
                <w:szCs w:val="22"/>
              </w:rPr>
              <w:t>万余套；在</w:t>
            </w:r>
            <w:r>
              <w:rPr>
                <w:rStyle w:val="6"/>
                <w:rFonts w:hint="eastAsia" w:ascii="仿宋" w:hAnsi="仿宋" w:eastAsia="仿宋" w:cs="仿宋"/>
                <w:b w:val="0"/>
                <w:color w:val="auto"/>
                <w:sz w:val="22"/>
                <w:szCs w:val="22"/>
                <w:lang w:val="en-US" w:eastAsia="zh-CN"/>
              </w:rPr>
              <w:t>全国</w:t>
            </w:r>
            <w:r>
              <w:rPr>
                <w:rStyle w:val="6"/>
                <w:rFonts w:hint="eastAsia" w:ascii="仿宋" w:hAnsi="仿宋" w:eastAsia="仿宋" w:cs="仿宋"/>
                <w:b w:val="0"/>
                <w:color w:val="auto"/>
                <w:sz w:val="22"/>
                <w:szCs w:val="22"/>
              </w:rPr>
              <w:t>60余家三甲医院和医药企业推广应用，实现每年20万例次重大疾病诊断，显著提升重大疾病精准诊治能力，有效降低检查成本，惠及广大患者。</w:t>
            </w:r>
          </w:p>
          <w:p w14:paraId="38AA56AB">
            <w:pPr>
              <w:ind w:firstLine="440" w:firstLineChars="200"/>
              <w:contextualSpacing/>
              <w:jc w:val="both"/>
              <w:rPr>
                <w:rStyle w:val="6"/>
                <w:b w:val="0"/>
                <w:color w:val="auto"/>
              </w:rPr>
            </w:pPr>
            <w:r>
              <w:rPr>
                <w:rStyle w:val="6"/>
                <w:rFonts w:hint="eastAsia" w:ascii="仿宋" w:hAnsi="仿宋" w:eastAsia="仿宋" w:cs="仿宋"/>
                <w:b w:val="0"/>
                <w:color w:val="auto"/>
                <w:sz w:val="22"/>
                <w:szCs w:val="22"/>
              </w:rPr>
              <w:t>提名该成果为</w:t>
            </w:r>
            <w:r>
              <w:rPr>
                <w:rStyle w:val="6"/>
                <w:rFonts w:hint="eastAsia" w:ascii="仿宋" w:hAnsi="仿宋" w:eastAsia="仿宋" w:cs="仿宋"/>
                <w:b w:val="0"/>
                <w:color w:val="auto"/>
                <w:sz w:val="22"/>
                <w:szCs w:val="22"/>
                <w:lang w:val="en-US" w:eastAsia="zh-CN"/>
              </w:rPr>
              <w:t>浙江</w:t>
            </w:r>
            <w:r>
              <w:rPr>
                <w:rStyle w:val="6"/>
                <w:rFonts w:hint="eastAsia" w:ascii="仿宋" w:hAnsi="仿宋" w:eastAsia="仿宋" w:cs="仿宋"/>
                <w:b w:val="0"/>
                <w:color w:val="auto"/>
                <w:sz w:val="22"/>
                <w:szCs w:val="22"/>
              </w:rPr>
              <w:t>省科学技术进步奖</w:t>
            </w:r>
            <w:r>
              <w:rPr>
                <w:rStyle w:val="6"/>
                <w:rFonts w:hint="eastAsia" w:ascii="仿宋" w:hAnsi="仿宋" w:eastAsia="仿宋" w:cs="仿宋"/>
                <w:b w:val="0"/>
                <w:color w:val="auto"/>
                <w:sz w:val="22"/>
                <w:szCs w:val="22"/>
                <w:lang w:val="en-US" w:eastAsia="zh-CN"/>
              </w:rPr>
              <w:t>一</w:t>
            </w:r>
            <w:r>
              <w:rPr>
                <w:rStyle w:val="6"/>
                <w:rFonts w:hint="eastAsia" w:ascii="仿宋" w:hAnsi="仿宋" w:eastAsia="仿宋" w:cs="仿宋"/>
                <w:b w:val="0"/>
                <w:color w:val="auto"/>
                <w:sz w:val="22"/>
                <w:szCs w:val="22"/>
              </w:rPr>
              <w:t>等奖</w:t>
            </w:r>
            <w:r>
              <w:rPr>
                <w:rStyle w:val="6"/>
                <w:rFonts w:hint="eastAsia"/>
                <w:b w:val="0"/>
                <w:color w:val="auto"/>
              </w:rPr>
              <w:t>。</w:t>
            </w:r>
          </w:p>
        </w:tc>
      </w:tr>
    </w:tbl>
    <w:p w14:paraId="7AD302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4250A"/>
    <w:multiLevelType w:val="singleLevel"/>
    <w:tmpl w:val="07A4250A"/>
    <w:lvl w:ilvl="0" w:tentative="0">
      <w:start w:val="1"/>
      <w:numFmt w:val="decimal"/>
      <w:suff w:val="space"/>
      <w:lvlText w:val="%1."/>
      <w:lvlJc w:val="left"/>
    </w:lvl>
  </w:abstractNum>
  <w:abstractNum w:abstractNumId="1">
    <w:nsid w:val="6627D0BD"/>
    <w:multiLevelType w:val="singleLevel"/>
    <w:tmpl w:val="6627D0B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13EC8"/>
    <w:rsid w:val="001153EC"/>
    <w:rsid w:val="06C85569"/>
    <w:rsid w:val="149E726C"/>
    <w:rsid w:val="1A4648FE"/>
    <w:rsid w:val="1A943645"/>
    <w:rsid w:val="348E6D2E"/>
    <w:rsid w:val="3E5A60DE"/>
    <w:rsid w:val="45B13EC8"/>
    <w:rsid w:val="5CC85FF1"/>
    <w:rsid w:val="67D960AF"/>
    <w:rsid w:val="76AF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1614</Words>
  <Characters>2981</Characters>
  <Lines>0</Lines>
  <Paragraphs>0</Paragraphs>
  <TotalTime>874</TotalTime>
  <ScaleCrop>false</ScaleCrop>
  <LinksUpToDate>false</LinksUpToDate>
  <CharactersWithSpaces>3211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2025-09-10T01:00:00Z</dcterms:created>
  <dc:creator>槡梓</dc:creator>
  <cp:lastModifiedBy>葛格</cp:lastModifiedBy>
  <cp:lastPrinted>2025-09-10T11:32:00Z</cp:lastPrinted>
  <dcterms:modified xsi:type="dcterms:W3CDTF">2025-09-11T08:09:32Z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F3D68F31827145E69B9D016570FC6B7E_13</vt:lpwstr>
  </property>
  <property fmtid="{D5CDD505-2E9C-101B-9397-08002B2CF9AE}" pid="4" name="KSOTemplateDocerSaveRecord">
    <vt:lpwstr>eyJoZGlkIjoiOTQ1MTQ1NDNjMTQzMGM1ZTc1NTkzYjI0ODdhM2VhYTkiLCJ1c2VySWQiOiIzODU5NjA1MjIifQ==</vt:lpwstr>
  </property>
</Properties>
</file>