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9CF979">
      <w:pPr>
        <w:jc w:val="center"/>
        <w:rPr>
          <w:rStyle w:val="36"/>
          <w:rFonts w:ascii="仿宋" w:hAnsi="仿宋" w:eastAsia="仿宋"/>
          <w:bCs w:val="0"/>
          <w:color w:val="auto"/>
          <w:sz w:val="36"/>
          <w:szCs w:val="36"/>
        </w:rPr>
      </w:pPr>
      <w:r>
        <w:rPr>
          <w:rStyle w:val="36"/>
          <w:rFonts w:ascii="仿宋" w:hAnsi="仿宋" w:eastAsia="仿宋"/>
          <w:color w:val="auto"/>
          <w:sz w:val="36"/>
          <w:szCs w:val="36"/>
        </w:rPr>
        <w:t>浙江省科学技术</w:t>
      </w:r>
      <w:r>
        <w:rPr>
          <w:rStyle w:val="36"/>
          <w:rFonts w:hint="eastAsia" w:ascii="仿宋" w:hAnsi="仿宋" w:eastAsia="仿宋" w:cs="微软雅黑"/>
          <w:color w:val="auto"/>
          <w:sz w:val="36"/>
          <w:szCs w:val="36"/>
        </w:rPr>
        <w:t>奖</w:t>
      </w:r>
      <w:r>
        <w:rPr>
          <w:rStyle w:val="36"/>
          <w:rFonts w:hint="eastAsia" w:ascii="仿宋" w:hAnsi="仿宋" w:eastAsia="仿宋" w:cs="___WRD_EMBED_SUB_55"/>
          <w:color w:val="auto"/>
          <w:sz w:val="36"/>
          <w:szCs w:val="36"/>
        </w:rPr>
        <w:t>公</w:t>
      </w:r>
      <w:r>
        <w:rPr>
          <w:rStyle w:val="36"/>
          <w:rFonts w:hint="eastAsia" w:ascii="仿宋" w:hAnsi="仿宋" w:eastAsia="仿宋" w:cs="微软雅黑"/>
          <w:color w:val="auto"/>
          <w:sz w:val="36"/>
          <w:szCs w:val="36"/>
        </w:rPr>
        <w:t>示信息表</w:t>
      </w:r>
      <w:r>
        <w:rPr>
          <w:rStyle w:val="36"/>
          <w:rFonts w:ascii="仿宋" w:hAnsi="仿宋" w:eastAsia="仿宋"/>
          <w:b w:val="0"/>
          <w:color w:val="auto"/>
          <w:sz w:val="32"/>
          <w:szCs w:val="32"/>
        </w:rPr>
        <w:t>（</w:t>
      </w:r>
      <w:r>
        <w:rPr>
          <w:rStyle w:val="36"/>
          <w:rFonts w:hint="eastAsia" w:ascii="仿宋" w:hAnsi="仿宋" w:eastAsia="仿宋" w:cs="微软雅黑"/>
          <w:b w:val="0"/>
          <w:color w:val="auto"/>
          <w:sz w:val="32"/>
          <w:szCs w:val="32"/>
        </w:rPr>
        <w:t>单位提名</w:t>
      </w:r>
      <w:r>
        <w:rPr>
          <w:rStyle w:val="36"/>
          <w:rFonts w:hint="eastAsia" w:ascii="仿宋" w:hAnsi="仿宋" w:eastAsia="仿宋" w:cs="___WRD_EMBED_SUB_55"/>
          <w:b w:val="0"/>
          <w:color w:val="auto"/>
          <w:sz w:val="32"/>
          <w:szCs w:val="32"/>
        </w:rPr>
        <w:t>）</w:t>
      </w:r>
    </w:p>
    <w:p w14:paraId="3A1B9091">
      <w:pPr>
        <w:spacing w:line="440" w:lineRule="exact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 w:cs="微软雅黑"/>
          <w:b/>
          <w:sz w:val="24"/>
          <w:szCs w:val="24"/>
        </w:rPr>
        <w:t>提名奖项</w:t>
      </w:r>
      <w:r>
        <w:rPr>
          <w:rFonts w:hint="eastAsia" w:ascii="仿宋" w:hAnsi="仿宋" w:eastAsia="仿宋" w:cs="___WRD_EMBED_SUB_55"/>
          <w:b/>
          <w:sz w:val="24"/>
          <w:szCs w:val="24"/>
        </w:rPr>
        <w:t>：科学技术</w:t>
      </w:r>
      <w:r>
        <w:rPr>
          <w:rFonts w:hint="eastAsia" w:ascii="仿宋" w:hAnsi="仿宋" w:eastAsia="仿宋" w:cs="微软雅黑"/>
          <w:b/>
          <w:sz w:val="24"/>
          <w:szCs w:val="24"/>
        </w:rPr>
        <w:t>进步奖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7201"/>
      </w:tblGrid>
      <w:tr w14:paraId="55A50F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305" w:type="dxa"/>
            <w:vAlign w:val="center"/>
          </w:tcPr>
          <w:p w14:paraId="4E85DD05">
            <w:pPr>
              <w:jc w:val="center"/>
              <w:rPr>
                <w:rStyle w:val="36"/>
                <w:rFonts w:ascii="仿宋" w:hAnsi="仿宋" w:eastAsia="仿宋"/>
                <w:b w:val="0"/>
                <w:color w:val="auto"/>
              </w:rPr>
            </w:pPr>
            <w:r>
              <w:rPr>
                <w:rStyle w:val="36"/>
                <w:rFonts w:ascii="仿宋" w:hAnsi="仿宋" w:eastAsia="仿宋"/>
                <w:b w:val="0"/>
                <w:bCs w:val="0"/>
                <w:color w:val="auto"/>
              </w:rPr>
              <w:t>成</w:t>
            </w:r>
            <w:r>
              <w:rPr>
                <w:rStyle w:val="36"/>
                <w:rFonts w:hint="eastAsia" w:ascii="仿宋" w:hAnsi="仿宋" w:eastAsia="仿宋" w:cs="微软雅黑"/>
                <w:b w:val="0"/>
                <w:bCs w:val="0"/>
                <w:color w:val="auto"/>
              </w:rPr>
              <w:t>果名称</w:t>
            </w:r>
          </w:p>
        </w:tc>
        <w:tc>
          <w:tcPr>
            <w:tcW w:w="7201" w:type="dxa"/>
            <w:vAlign w:val="center"/>
          </w:tcPr>
          <w:p w14:paraId="007CFA90">
            <w:pPr>
              <w:jc w:val="center"/>
              <w:rPr>
                <w:rStyle w:val="36"/>
                <w:rFonts w:ascii="仿宋" w:hAnsi="仿宋" w:eastAsia="仿宋"/>
                <w:b w:val="0"/>
                <w:color w:val="auto"/>
              </w:rPr>
            </w:pPr>
            <w:bookmarkStart w:id="0" w:name="_GoBack"/>
            <w:r>
              <w:rPr>
                <w:rStyle w:val="36"/>
                <w:rFonts w:hint="eastAsia" w:ascii="仿宋" w:hAnsi="仿宋" w:eastAsia="仿宋" w:cs="微软雅黑"/>
                <w:b w:val="0"/>
                <w:color w:val="auto"/>
              </w:rPr>
              <w:t>高</w:t>
            </w:r>
            <w:r>
              <w:rPr>
                <w:rStyle w:val="36"/>
                <w:rFonts w:hint="eastAsia" w:ascii="仿宋" w:hAnsi="仿宋" w:eastAsia="仿宋" w:cs="___WRD_EMBED_SUB_55"/>
                <w:b w:val="0"/>
                <w:color w:val="auto"/>
              </w:rPr>
              <w:t>性能薄壁构件与节点关键技术及其电力工程应用</w:t>
            </w:r>
            <w:bookmarkEnd w:id="0"/>
          </w:p>
        </w:tc>
      </w:tr>
      <w:tr w14:paraId="729F1C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305" w:type="dxa"/>
            <w:vAlign w:val="center"/>
          </w:tcPr>
          <w:p w14:paraId="384E7DE7">
            <w:pPr>
              <w:jc w:val="center"/>
              <w:rPr>
                <w:rStyle w:val="36"/>
                <w:rFonts w:ascii="仿宋" w:hAnsi="仿宋" w:eastAsia="仿宋"/>
                <w:b w:val="0"/>
                <w:color w:val="auto"/>
              </w:rPr>
            </w:pPr>
            <w:r>
              <w:rPr>
                <w:rStyle w:val="36"/>
                <w:rFonts w:hint="eastAsia" w:ascii="仿宋" w:hAnsi="仿宋" w:eastAsia="仿宋" w:cs="微软雅黑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7201" w:type="dxa"/>
            <w:vAlign w:val="center"/>
          </w:tcPr>
          <w:p w14:paraId="3640E507">
            <w:pPr>
              <w:jc w:val="center"/>
              <w:rPr>
                <w:rStyle w:val="36"/>
                <w:rFonts w:ascii="仿宋" w:hAnsi="仿宋" w:eastAsia="仿宋"/>
                <w:b w:val="0"/>
                <w:color w:val="auto"/>
              </w:rPr>
            </w:pPr>
            <w:r>
              <w:rPr>
                <w:rStyle w:val="36"/>
                <w:rFonts w:hint="eastAsia" w:ascii="仿宋" w:hAnsi="仿宋" w:eastAsia="仿宋"/>
                <w:b w:val="0"/>
                <w:color w:val="auto"/>
              </w:rPr>
              <w:t>科技</w:t>
            </w:r>
            <w:r>
              <w:rPr>
                <w:rStyle w:val="36"/>
                <w:rFonts w:hint="eastAsia" w:ascii="仿宋" w:hAnsi="仿宋" w:eastAsia="仿宋" w:cs="微软雅黑"/>
                <w:b w:val="0"/>
                <w:color w:val="auto"/>
              </w:rPr>
              <w:t>进步奖一等奖</w:t>
            </w:r>
          </w:p>
        </w:tc>
      </w:tr>
      <w:tr w14:paraId="66093A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</w:trPr>
        <w:tc>
          <w:tcPr>
            <w:tcW w:w="1305" w:type="dxa"/>
            <w:vAlign w:val="center"/>
          </w:tcPr>
          <w:p w14:paraId="5D1FD2F6">
            <w:pPr>
              <w:spacing w:line="440" w:lineRule="exact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提名书</w:t>
            </w:r>
          </w:p>
          <w:p w14:paraId="28ED0B19">
            <w:pPr>
              <w:spacing w:line="440" w:lineRule="exact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相关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内容</w:t>
            </w:r>
          </w:p>
        </w:tc>
        <w:tc>
          <w:tcPr>
            <w:tcW w:w="7201" w:type="dxa"/>
            <w:vAlign w:val="center"/>
          </w:tcPr>
          <w:p w14:paraId="28CF8EDB">
            <w:pPr>
              <w:spacing w:line="440" w:lineRule="exact"/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微软雅黑"/>
                <w:b/>
                <w:bCs/>
                <w:sz w:val="24"/>
                <w:szCs w:val="24"/>
              </w:rPr>
              <w:t>一</w:t>
            </w:r>
            <w:r>
              <w:rPr>
                <w:rFonts w:hint="eastAsia" w:ascii="仿宋" w:hAnsi="仿宋" w:eastAsia="仿宋" w:cs="___WRD_EMBED_SUB_55"/>
                <w:b/>
                <w:bCs/>
                <w:sz w:val="24"/>
                <w:szCs w:val="24"/>
              </w:rPr>
              <w:t>、</w:t>
            </w:r>
            <w:r>
              <w:rPr>
                <w:rFonts w:hint="eastAsia" w:ascii="仿宋" w:hAnsi="仿宋" w:eastAsia="仿宋" w:cs="微软雅黑"/>
                <w:b/>
                <w:bCs/>
                <w:sz w:val="24"/>
                <w:szCs w:val="24"/>
              </w:rPr>
              <w:t>主要知识产</w:t>
            </w:r>
            <w:r>
              <w:rPr>
                <w:rFonts w:hint="eastAsia" w:ascii="仿宋" w:hAnsi="仿宋" w:eastAsia="仿宋" w:cs="___WRD_EMBED_SUB_55"/>
                <w:b/>
                <w:bCs/>
                <w:sz w:val="24"/>
                <w:szCs w:val="24"/>
              </w:rPr>
              <w:t>权</w:t>
            </w:r>
          </w:p>
          <w:p w14:paraId="1D68D664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1.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陈驹，赵长军，章玲，张大伟，金伟良；钢-混凝土界面剪力连接件疲劳性能测试装置及应用方法，专利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号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：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ZL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 xml:space="preserve"> 2016 1 0204570.1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；</w:t>
            </w:r>
          </w:p>
          <w:p w14:paraId="25AACD38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2.</w:t>
            </w:r>
            <w:r>
              <w:rPr>
                <w:rFonts w:hint="eastAsia" w:ascii="仿宋" w:hAnsi="仿宋" w:eastAsia="仿宋"/>
              </w:rPr>
              <w:t xml:space="preserve"> 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陈驹，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严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鑫；钢-混凝土组合结构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锥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形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铸铁螺栓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连接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件，专利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号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：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ZL 2019 1 0493196.5;</w:t>
            </w:r>
          </w:p>
          <w:p w14:paraId="095DAAAE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3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陈驹，杨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子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明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，朱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亚辉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；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一种含铁磁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性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骨料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混凝土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表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面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处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理方法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, 专利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号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：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ZL 2021 1 1500374.6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.</w:t>
            </w:r>
          </w:p>
          <w:p w14:paraId="69697ECB">
            <w:pPr>
              <w:spacing w:line="440" w:lineRule="exact"/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微软雅黑"/>
                <w:b/>
                <w:bCs/>
                <w:sz w:val="24"/>
                <w:szCs w:val="24"/>
              </w:rPr>
              <w:t>二</w:t>
            </w:r>
            <w:r>
              <w:rPr>
                <w:rFonts w:hint="eastAsia" w:ascii="仿宋" w:hAnsi="仿宋" w:eastAsia="仿宋" w:cs="___WRD_EMBED_SUB_55"/>
                <w:b/>
                <w:bCs/>
                <w:sz w:val="24"/>
                <w:szCs w:val="24"/>
              </w:rPr>
              <w:t>、标准规范</w:t>
            </w:r>
            <w:r>
              <w:rPr>
                <w:rFonts w:hint="eastAsia" w:ascii="仿宋" w:hAnsi="仿宋" w:eastAsia="仿宋" w:cs="微软雅黑"/>
                <w:b/>
                <w:bCs/>
                <w:sz w:val="24"/>
                <w:szCs w:val="24"/>
              </w:rPr>
              <w:t>目录</w:t>
            </w:r>
          </w:p>
          <w:p w14:paraId="129C357F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1.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中华人民共和国国家标准. GB/T 22395-2022《锅炉钢结构设计规范》[S]. 北京：中国标准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出版社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2022.</w:t>
            </w:r>
          </w:p>
          <w:p w14:paraId="3818288E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 xml:space="preserve">中华人民共和国能源行业标准. NB/T 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11311-2023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《环形截面混凝土电杆结构设计规程》[S]. 北京：中国计划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出版社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202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3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.</w:t>
            </w:r>
          </w:p>
          <w:p w14:paraId="0DBD0C47">
            <w:pPr>
              <w:spacing w:line="440" w:lineRule="exact"/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微软雅黑"/>
                <w:b/>
                <w:bCs/>
                <w:sz w:val="24"/>
                <w:szCs w:val="24"/>
              </w:rPr>
              <w:t>三</w:t>
            </w:r>
            <w:r>
              <w:rPr>
                <w:rFonts w:hint="eastAsia" w:ascii="仿宋" w:hAnsi="仿宋" w:eastAsia="仿宋" w:cs="___WRD_EMBED_SUB_55"/>
                <w:b/>
                <w:bCs/>
                <w:sz w:val="24"/>
                <w:szCs w:val="24"/>
              </w:rPr>
              <w:t>、代</w:t>
            </w:r>
            <w:r>
              <w:rPr>
                <w:rFonts w:hint="eastAsia" w:ascii="仿宋" w:hAnsi="仿宋" w:eastAsia="仿宋" w:cs="微软雅黑"/>
                <w:b/>
                <w:bCs/>
                <w:sz w:val="24"/>
                <w:szCs w:val="24"/>
              </w:rPr>
              <w:t>表</w:t>
            </w:r>
            <w:r>
              <w:rPr>
                <w:rFonts w:hint="eastAsia" w:ascii="仿宋" w:hAnsi="仿宋" w:eastAsia="仿宋" w:cs="___WRD_EMBED_SUB_55"/>
                <w:b/>
                <w:bCs/>
                <w:sz w:val="24"/>
                <w:szCs w:val="24"/>
              </w:rPr>
              <w:t>性</w:t>
            </w:r>
            <w:r>
              <w:rPr>
                <w:rFonts w:hint="eastAsia" w:ascii="仿宋" w:hAnsi="仿宋" w:eastAsia="仿宋" w:cs="微软雅黑"/>
                <w:b/>
                <w:bCs/>
                <w:sz w:val="24"/>
                <w:szCs w:val="24"/>
              </w:rPr>
              <w:t>论文</w:t>
            </w:r>
            <w:r>
              <w:rPr>
                <w:rFonts w:hint="eastAsia" w:ascii="仿宋" w:hAnsi="仿宋" w:eastAsia="仿宋" w:cs="___WRD_EMBED_SUB_55"/>
                <w:b/>
                <w:bCs/>
                <w:sz w:val="24"/>
                <w:szCs w:val="24"/>
              </w:rPr>
              <w:t>专</w:t>
            </w:r>
            <w:r>
              <w:rPr>
                <w:rFonts w:hint="eastAsia" w:ascii="仿宋" w:hAnsi="仿宋" w:eastAsia="仿宋" w:cs="微软雅黑"/>
                <w:b/>
                <w:bCs/>
                <w:sz w:val="24"/>
                <w:szCs w:val="24"/>
              </w:rPr>
              <w:t>著</w:t>
            </w:r>
          </w:p>
          <w:p w14:paraId="0083D54A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1. Xu Fei, Chen Ju, Jin Wei-liang. Experimental investigation and design of concrete-filled steel tubular CHS connections[J]. Journal of Structural Engineering, 2015,141(2), 04014106;</w:t>
            </w:r>
          </w:p>
          <w:p w14:paraId="4EBEEF2D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. Chen Ju, Ni Ying-Ying, Jin Wei-liang. Column tests of dodecagonal section double skin concrete-filled steel tubes[J]. Thin-Walled Structures, 2015, 88: 28-40.</w:t>
            </w:r>
          </w:p>
          <w:p w14:paraId="006FC2B9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3. Xu F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ei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, Chen Ju, Jin Wei-liang. Experimental investigation of SCF distribution for thin-walled concrete-filled CHS joints under axial tension loading[J]. Thin-Walled Structures, 2015, 93: 149-157.</w:t>
            </w:r>
          </w:p>
          <w:p w14:paraId="7C0C53FE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4.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Ma J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ia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-Lin, Chan Tak-Ming, Young Ben. Experimental investigation on stub-column behavior of cold-formed high-strength steel tubular sections[J]. Journal of Structural Engineering, 2016, 142(5): 04015174.</w:t>
            </w:r>
          </w:p>
          <w:p w14:paraId="2768643B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</w:p>
          <w:p w14:paraId="0A07BDCE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5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. Xu Fei, Chan Tak-Ming, Sheehan Therese, Gardner Leroy. Prediction of ductile fracture for circular hollow section bracing members under extremely low cycle fatigue[J]. Engineering structures, 2020, 214: 110579.</w:t>
            </w:r>
          </w:p>
        </w:tc>
      </w:tr>
      <w:tr w14:paraId="7BAD88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1305" w:type="dxa"/>
            <w:tcBorders>
              <w:right w:val="single" w:color="auto" w:sz="4" w:space="0"/>
            </w:tcBorders>
            <w:vAlign w:val="center"/>
          </w:tcPr>
          <w:p w14:paraId="0B23FE84">
            <w:pPr>
              <w:spacing w:line="440" w:lineRule="exact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主要</w:t>
            </w:r>
          </w:p>
          <w:p w14:paraId="7EE7B357">
            <w:pPr>
              <w:spacing w:line="440" w:lineRule="exact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完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成人</w:t>
            </w:r>
          </w:p>
        </w:tc>
        <w:tc>
          <w:tcPr>
            <w:tcW w:w="7201" w:type="dxa"/>
            <w:tcBorders>
              <w:left w:val="single" w:color="auto" w:sz="4" w:space="0"/>
            </w:tcBorders>
            <w:vAlign w:val="center"/>
          </w:tcPr>
          <w:p w14:paraId="19D802F3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陈驹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排名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1，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正高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0EF5DEF3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徐菲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排名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2，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正高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重庆大学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4E3A4DD6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陈德明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排名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3，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正高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香港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大学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7F048EFF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陈娟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排名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4，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副高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南京航空航天大学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2DC8DDB0">
            <w:pPr>
              <w:spacing w:line="440" w:lineRule="exact"/>
              <w:ind w:left="2640" w:hanging="2640" w:hangingChars="1100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陈健陵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排名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5，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副高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东方电气集团东方锅炉股份有限公司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0DED85B4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刘承斌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排名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6，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副高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6C2EF8EB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冯炳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排名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7，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副高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绍兴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大明电力设计院有限公司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611047DB">
            <w:pPr>
              <w:spacing w:line="440" w:lineRule="exact"/>
              <w:ind w:left="2400" w:hanging="2400" w:hangingChars="1000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潘峰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8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正高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中国能源建设集团浙江省电力设计院有限公司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48A17965">
            <w:pPr>
              <w:spacing w:line="440" w:lineRule="exact"/>
              <w:ind w:left="2400" w:hanging="2400" w:hangingChars="1000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胡亮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排名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9，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副高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东方电气集团东方锅炉股份有限公司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75BAF38D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陈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俊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波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0，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副高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华中科技大学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201E5C97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黄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韵儿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排名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11，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副高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香港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理工大学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；</w:t>
            </w:r>
          </w:p>
          <w:p w14:paraId="5E14E998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杨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子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明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排名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2，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其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他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浙江大学;</w:t>
            </w:r>
          </w:p>
          <w:p w14:paraId="47D2C3C7">
            <w:pPr>
              <w:spacing w:line="440" w:lineRule="exac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宋沙沙</w:t>
            </w:r>
            <w:r>
              <w:rPr>
                <w:rFonts w:hint="eastAsia" w:ascii="仿宋" w:hAnsi="仿宋" w:eastAsia="仿宋" w:cs="___WRD_EMBED_SUB_659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排名</w:t>
            </w:r>
            <w:r>
              <w:rPr>
                <w:rFonts w:ascii="仿宋" w:hAnsi="仿宋" w:eastAsia="仿宋"/>
                <w:bCs/>
                <w:sz w:val="24"/>
                <w:szCs w:val="24"/>
              </w:rPr>
              <w:t>13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其他</w:t>
            </w:r>
            <w:r>
              <w:rPr>
                <w:rFonts w:hint="eastAsia" w:ascii="仿宋" w:hAnsi="仿宋" w:eastAsia="仿宋" w:cs="___WRD_EMBED_SUB_659"/>
                <w:bCs/>
                <w:sz w:val="24"/>
                <w:szCs w:val="24"/>
              </w:rPr>
              <w:t>，浙江大学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。</w:t>
            </w:r>
          </w:p>
        </w:tc>
      </w:tr>
      <w:tr w14:paraId="1943DC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1305" w:type="dxa"/>
            <w:tcBorders>
              <w:right w:val="single" w:color="auto" w:sz="4" w:space="0"/>
            </w:tcBorders>
            <w:vAlign w:val="center"/>
          </w:tcPr>
          <w:p w14:paraId="4B5E5795">
            <w:pPr>
              <w:spacing w:line="440" w:lineRule="exact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主要</w:t>
            </w:r>
          </w:p>
          <w:p w14:paraId="7D52CEA9">
            <w:pPr>
              <w:spacing w:line="440" w:lineRule="exact"/>
              <w:jc w:val="center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完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成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单位</w:t>
            </w:r>
          </w:p>
        </w:tc>
        <w:tc>
          <w:tcPr>
            <w:tcW w:w="7201" w:type="dxa"/>
            <w:tcBorders>
              <w:left w:val="single" w:color="auto" w:sz="4" w:space="0"/>
            </w:tcBorders>
            <w:vAlign w:val="center"/>
          </w:tcPr>
          <w:p w14:paraId="6CCF19EF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1.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浙江大学;</w:t>
            </w:r>
          </w:p>
          <w:p w14:paraId="6022DF6E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2.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重庆大学;</w:t>
            </w:r>
          </w:p>
          <w:p w14:paraId="34E277AC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3.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东方电气集团东方锅炉股份有限公司;</w:t>
            </w:r>
          </w:p>
          <w:p w14:paraId="6F15CCDC">
            <w:pPr>
              <w:spacing w:line="440" w:lineRule="exact"/>
              <w:ind w:left="1440" w:hanging="1440" w:hangingChars="600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4.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中国能源建设集团浙江省电力设计院有限公司;</w:t>
            </w:r>
          </w:p>
          <w:p w14:paraId="326109C9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5.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绍兴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大明电力设计院有限公司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;</w:t>
            </w:r>
          </w:p>
          <w:p w14:paraId="4FC13338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6.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南京航空大学;</w:t>
            </w:r>
          </w:p>
          <w:p w14:paraId="41D6C4F5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7.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香港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大学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;</w:t>
            </w:r>
          </w:p>
          <w:p w14:paraId="674ECE22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8.</w:t>
            </w:r>
            <w:r>
              <w:rPr>
                <w:rFonts w:hint="eastAsia" w:ascii="仿宋" w:hAnsi="仿宋" w:eastAsia="仿宋" w:cs="微软雅黑"/>
                <w:bCs/>
                <w:sz w:val="24"/>
                <w:szCs w:val="24"/>
              </w:rPr>
              <w:t>香港</w:t>
            </w:r>
            <w:r>
              <w:rPr>
                <w:rFonts w:hint="eastAsia" w:ascii="仿宋" w:hAnsi="仿宋" w:eastAsia="仿宋" w:cs="___WRD_EMBED_SUB_55"/>
                <w:bCs/>
                <w:sz w:val="24"/>
                <w:szCs w:val="24"/>
              </w:rPr>
              <w:t>理工大学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;</w:t>
            </w:r>
          </w:p>
          <w:p w14:paraId="5546D41A">
            <w:pPr>
              <w:spacing w:line="440" w:lineRule="exact"/>
              <w:jc w:val="left"/>
              <w:rPr>
                <w:rFonts w:ascii="仿宋" w:hAnsi="仿宋" w:eastAsia="仿宋"/>
                <w:bCs/>
                <w:sz w:val="24"/>
                <w:szCs w:val="24"/>
              </w:rPr>
            </w:pPr>
            <w:r>
              <w:rPr>
                <w:rFonts w:ascii="仿宋" w:hAnsi="仿宋" w:eastAsia="仿宋"/>
                <w:bCs/>
                <w:sz w:val="24"/>
                <w:szCs w:val="24"/>
              </w:rPr>
              <w:t>9.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华中科技大学。</w:t>
            </w:r>
          </w:p>
        </w:tc>
      </w:tr>
      <w:tr w14:paraId="0E2F39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305" w:type="dxa"/>
            <w:vAlign w:val="center"/>
          </w:tcPr>
          <w:p w14:paraId="5B7EACF6">
            <w:pPr>
              <w:jc w:val="center"/>
              <w:rPr>
                <w:rStyle w:val="36"/>
                <w:rFonts w:ascii="宋体" w:hAnsi="宋体"/>
                <w:b w:val="0"/>
                <w:color w:val="auto"/>
              </w:rPr>
            </w:pP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提名单位</w:t>
            </w:r>
          </w:p>
        </w:tc>
        <w:tc>
          <w:tcPr>
            <w:tcW w:w="7201" w:type="dxa"/>
            <w:vAlign w:val="center"/>
          </w:tcPr>
          <w:p w14:paraId="25BE3CCD">
            <w:pPr>
              <w:contextualSpacing/>
              <w:jc w:val="center"/>
              <w:rPr>
                <w:rStyle w:val="36"/>
                <w:rFonts w:ascii="宋体" w:hAnsi="宋体"/>
                <w:b w:val="0"/>
                <w:color w:val="auto"/>
              </w:rPr>
            </w:pPr>
            <w:r>
              <w:rPr>
                <w:rFonts w:ascii="宋体" w:hAnsi="宋体"/>
                <w:sz w:val="24"/>
                <w:szCs w:val="24"/>
              </w:rPr>
              <w:t>浙江大学</w:t>
            </w:r>
          </w:p>
        </w:tc>
      </w:tr>
      <w:tr w14:paraId="45EA43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1305" w:type="dxa"/>
            <w:vAlign w:val="center"/>
          </w:tcPr>
          <w:p w14:paraId="44B8D47E">
            <w:pPr>
              <w:jc w:val="center"/>
              <w:rPr>
                <w:rStyle w:val="36"/>
                <w:rFonts w:ascii="宋体" w:hAnsi="宋体"/>
                <w:b w:val="0"/>
                <w:color w:val="auto"/>
              </w:rPr>
            </w:pP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提名意见</w:t>
            </w:r>
          </w:p>
        </w:tc>
        <w:tc>
          <w:tcPr>
            <w:tcW w:w="7201" w:type="dxa"/>
            <w:vAlign w:val="center"/>
          </w:tcPr>
          <w:p w14:paraId="01BCBD98">
            <w:pPr>
              <w:spacing w:line="440" w:lineRule="exact"/>
              <w:ind w:firstLine="480" w:firstLineChars="200"/>
              <w:contextualSpacing/>
              <w:jc w:val="left"/>
              <w:rPr>
                <w:rStyle w:val="36"/>
                <w:rFonts w:ascii="宋体" w:hAnsi="宋体"/>
                <w:b w:val="0"/>
                <w:color w:val="auto"/>
              </w:rPr>
            </w:pP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高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性能薄壁结构可以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满足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电力工程中日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益增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长的结构性能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需求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，建设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更轻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、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更高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、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更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大的电力工程结构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对保障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民生用电与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助推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“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走出去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”的电力工程全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球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化建设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具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有重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要意义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。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项目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组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针对高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性能薄壁构件和节点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在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电力工程中应用的关键科学技术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难题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，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在高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性能薄壁构件与薄壁圆</w:t>
            </w:r>
            <w:r>
              <w:rPr>
                <w:rStyle w:val="36"/>
                <w:rFonts w:hint="eastAsia" w:ascii="宋体" w:hAnsi="宋体"/>
                <w:b w:val="0"/>
                <w:color w:val="auto"/>
              </w:rPr>
              <w:t>钢管混凝土节点的性能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分析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理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论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与设计方法、基于薄壁构件的电力钢结构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优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化理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论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与设计方法方面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做出了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创新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贡献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，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进一步完善了高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性能薄壁构件和节点的性能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分析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理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论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与关键技术，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经济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效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益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和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社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会效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益显著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。</w:t>
            </w:r>
            <w:r>
              <w:rPr>
                <w:rStyle w:val="36"/>
                <w:rFonts w:hint="eastAsia" w:ascii="宋体" w:hAnsi="宋体"/>
                <w:b w:val="0"/>
                <w:color w:val="auto"/>
              </w:rPr>
              <w:t xml:space="preserve"> </w:t>
            </w:r>
          </w:p>
          <w:p w14:paraId="40C21F33">
            <w:pPr>
              <w:spacing w:line="440" w:lineRule="exact"/>
              <w:ind w:firstLine="480" w:firstLineChars="200"/>
              <w:contextualSpacing/>
              <w:jc w:val="left"/>
              <w:rPr>
                <w:rStyle w:val="36"/>
                <w:rFonts w:ascii="宋体" w:hAnsi="宋体"/>
                <w:b w:val="0"/>
                <w:color w:val="auto"/>
              </w:rPr>
            </w:pPr>
            <w:r>
              <w:rPr>
                <w:rStyle w:val="36"/>
                <w:rFonts w:hint="eastAsia" w:ascii="宋体" w:hAnsi="宋体"/>
                <w:b w:val="0"/>
                <w:color w:val="auto"/>
              </w:rPr>
              <w:t>聂建国院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士担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任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主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任的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评价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委员会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认为项目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成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果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整体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水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平达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到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国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际先进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，其中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内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置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格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构式钢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骨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薄壁钢管混凝土、薄壁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离心</w:t>
            </w:r>
            <w:r>
              <w:rPr>
                <w:rStyle w:val="36"/>
                <w:rFonts w:hint="eastAsia" w:ascii="宋体" w:hAnsi="宋体"/>
                <w:b w:val="0"/>
                <w:color w:val="auto"/>
              </w:rPr>
              <w:t>GFRP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高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性能混凝土构件的性能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分析模型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与设计方法、薄壁圆钢管混凝土节点性能及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荷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载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传递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的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分析模型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与设计方法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等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技术达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到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国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际领先水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平。</w:t>
            </w:r>
          </w:p>
          <w:p w14:paraId="7233BD18">
            <w:pPr>
              <w:spacing w:line="440" w:lineRule="exact"/>
              <w:ind w:firstLine="480" w:firstLineChars="200"/>
              <w:contextualSpacing/>
              <w:jc w:val="left"/>
              <w:rPr>
                <w:rStyle w:val="36"/>
                <w:rFonts w:ascii="宋体" w:hAnsi="宋体"/>
                <w:b w:val="0"/>
                <w:color w:val="auto"/>
              </w:rPr>
            </w:pP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提名该项目为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浙江省科学技术</w:t>
            </w:r>
            <w:r>
              <w:rPr>
                <w:rStyle w:val="36"/>
                <w:rFonts w:hint="eastAsia" w:ascii="宋体" w:hAnsi="宋体" w:cs="微软雅黑"/>
                <w:b w:val="0"/>
                <w:color w:val="auto"/>
              </w:rPr>
              <w:t>进步奖一等奖</w:t>
            </w:r>
            <w:r>
              <w:rPr>
                <w:rStyle w:val="36"/>
                <w:rFonts w:hint="eastAsia" w:ascii="宋体" w:hAnsi="宋体" w:cs="___WRD_EMBED_SUB_55"/>
                <w:b w:val="0"/>
                <w:color w:val="auto"/>
              </w:rPr>
              <w:t>。</w:t>
            </w:r>
          </w:p>
        </w:tc>
      </w:tr>
    </w:tbl>
    <w:p w14:paraId="4720AA35">
      <w:pPr>
        <w:adjustRightInd w:val="0"/>
        <w:snapToGrid w:val="0"/>
        <w:spacing w:line="560" w:lineRule="exact"/>
        <w:rPr>
          <w:rFonts w:eastAsia="仿宋"/>
          <w:sz w:val="24"/>
          <w:szCs w:val="24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319DC0C-FE00-4BD5-813A-5A7FD6FC34E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3D0435C-101E-4F39-8373-F41272CF0E6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3C0038A-52FF-4D86-BEFA-C46914D1A39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E5CE92D-AC79-48FF-8E19-3687A0F0C1D3}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5" w:fontKey="{8923EBF6-9D73-4A0F-BED8-4756C98EBFA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AF0178C4-2A9C-4799-8F86-DE7E44F6427F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3D9B716B-E560-476F-8953-921BDA881280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48D2107-7185-4414-99DA-CCED68EE59A8}"/>
  </w:font>
  <w:font w:name="___WRD_EMBED_SUB_55">
    <w:altName w:val="微软雅黑"/>
    <w:panose1 w:val="00000000000000000000"/>
    <w:charset w:val="86"/>
    <w:family w:val="modern"/>
    <w:pitch w:val="default"/>
    <w:sig w:usb0="00000000" w:usb1="00000000" w:usb2="00000016" w:usb3="00000000" w:csb0="00040001" w:csb1="00000000"/>
    <w:embedRegular r:id="rId9" w:fontKey="{2C4BE137-E550-4854-B39D-DFDEFF4641D9}"/>
  </w:font>
  <w:font w:name="___WRD_EMBED_SUB_659">
    <w:altName w:val="宋体"/>
    <w:panose1 w:val="00000000000000000000"/>
    <w:charset w:val="86"/>
    <w:family w:val="modern"/>
    <w:pitch w:val="default"/>
    <w:sig w:usb0="00000000" w:usb1="00000000" w:usb2="00000016" w:usb3="00000000" w:csb0="00040001" w:csb1="00000000"/>
    <w:embedRegular r:id="rId10" w:fontKey="{228F0282-D329-4929-A589-6A9C275C664F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  <w:embedRegular r:id="rId11" w:fontKey="{F064EFA6-CCED-42FF-B1EA-C00F5D589F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101ACF2D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FCAE0E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901971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482C6">
    <w:pPr>
      <w:pStyle w:val="10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5276"/>
    <w:rsid w:val="000165DC"/>
    <w:rsid w:val="00031E44"/>
    <w:rsid w:val="00033288"/>
    <w:rsid w:val="0004004D"/>
    <w:rsid w:val="00040859"/>
    <w:rsid w:val="00051BE3"/>
    <w:rsid w:val="00053F24"/>
    <w:rsid w:val="0006546D"/>
    <w:rsid w:val="00067E32"/>
    <w:rsid w:val="00083906"/>
    <w:rsid w:val="000847FC"/>
    <w:rsid w:val="000929AE"/>
    <w:rsid w:val="000A0FE4"/>
    <w:rsid w:val="000A79D5"/>
    <w:rsid w:val="000B2E39"/>
    <w:rsid w:val="000B70B3"/>
    <w:rsid w:val="000C0E5D"/>
    <w:rsid w:val="000C632A"/>
    <w:rsid w:val="000F1229"/>
    <w:rsid w:val="000F2CC3"/>
    <w:rsid w:val="000F6066"/>
    <w:rsid w:val="000F6517"/>
    <w:rsid w:val="000F6B39"/>
    <w:rsid w:val="000F7732"/>
    <w:rsid w:val="00100A1E"/>
    <w:rsid w:val="001039E9"/>
    <w:rsid w:val="00104F03"/>
    <w:rsid w:val="0012430D"/>
    <w:rsid w:val="00125D10"/>
    <w:rsid w:val="001435CC"/>
    <w:rsid w:val="001539D3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A55EF"/>
    <w:rsid w:val="001A7229"/>
    <w:rsid w:val="001B0C22"/>
    <w:rsid w:val="001B370E"/>
    <w:rsid w:val="001B454D"/>
    <w:rsid w:val="001B4974"/>
    <w:rsid w:val="001B7D2A"/>
    <w:rsid w:val="001C4D6D"/>
    <w:rsid w:val="001D3908"/>
    <w:rsid w:val="001F032B"/>
    <w:rsid w:val="001F2C76"/>
    <w:rsid w:val="001F7F40"/>
    <w:rsid w:val="00200A41"/>
    <w:rsid w:val="00211335"/>
    <w:rsid w:val="00212129"/>
    <w:rsid w:val="0021252F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63732"/>
    <w:rsid w:val="002745F8"/>
    <w:rsid w:val="00282549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3E06"/>
    <w:rsid w:val="002E42A8"/>
    <w:rsid w:val="002E43DB"/>
    <w:rsid w:val="002F1911"/>
    <w:rsid w:val="002F1AFC"/>
    <w:rsid w:val="002F74D2"/>
    <w:rsid w:val="00301AA8"/>
    <w:rsid w:val="0030543F"/>
    <w:rsid w:val="003063D6"/>
    <w:rsid w:val="00311F45"/>
    <w:rsid w:val="00311F89"/>
    <w:rsid w:val="003125EF"/>
    <w:rsid w:val="00322DF3"/>
    <w:rsid w:val="00326352"/>
    <w:rsid w:val="00330554"/>
    <w:rsid w:val="00331B99"/>
    <w:rsid w:val="003335B5"/>
    <w:rsid w:val="00336678"/>
    <w:rsid w:val="00340314"/>
    <w:rsid w:val="00340DF7"/>
    <w:rsid w:val="0034107C"/>
    <w:rsid w:val="00343DF4"/>
    <w:rsid w:val="00347614"/>
    <w:rsid w:val="00352CE2"/>
    <w:rsid w:val="00356B8A"/>
    <w:rsid w:val="00363C7E"/>
    <w:rsid w:val="00370977"/>
    <w:rsid w:val="00377C1C"/>
    <w:rsid w:val="00380006"/>
    <w:rsid w:val="00382214"/>
    <w:rsid w:val="00382EDD"/>
    <w:rsid w:val="00386D85"/>
    <w:rsid w:val="0039310A"/>
    <w:rsid w:val="0039716D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593A"/>
    <w:rsid w:val="003E6BFB"/>
    <w:rsid w:val="003F0278"/>
    <w:rsid w:val="003F1E9D"/>
    <w:rsid w:val="003F427F"/>
    <w:rsid w:val="003F76A0"/>
    <w:rsid w:val="00401E30"/>
    <w:rsid w:val="00413EC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0476"/>
    <w:rsid w:val="004B13A5"/>
    <w:rsid w:val="004B531C"/>
    <w:rsid w:val="004C2337"/>
    <w:rsid w:val="004D3106"/>
    <w:rsid w:val="004D55B5"/>
    <w:rsid w:val="004E11C6"/>
    <w:rsid w:val="004E36AB"/>
    <w:rsid w:val="004E3EAC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1ED1"/>
    <w:rsid w:val="0057414B"/>
    <w:rsid w:val="0057576E"/>
    <w:rsid w:val="0057756E"/>
    <w:rsid w:val="0058367D"/>
    <w:rsid w:val="00586D66"/>
    <w:rsid w:val="00587D18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54B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56232"/>
    <w:rsid w:val="00670053"/>
    <w:rsid w:val="00673E71"/>
    <w:rsid w:val="0067653C"/>
    <w:rsid w:val="00677918"/>
    <w:rsid w:val="006823DB"/>
    <w:rsid w:val="00684D8B"/>
    <w:rsid w:val="006908AB"/>
    <w:rsid w:val="00692309"/>
    <w:rsid w:val="00694DDB"/>
    <w:rsid w:val="006969F5"/>
    <w:rsid w:val="006A1E31"/>
    <w:rsid w:val="006A390F"/>
    <w:rsid w:val="006A580A"/>
    <w:rsid w:val="006A5E35"/>
    <w:rsid w:val="006B0E47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271D1"/>
    <w:rsid w:val="0073019F"/>
    <w:rsid w:val="00734046"/>
    <w:rsid w:val="00735560"/>
    <w:rsid w:val="00736027"/>
    <w:rsid w:val="007370E0"/>
    <w:rsid w:val="0074291D"/>
    <w:rsid w:val="007466B8"/>
    <w:rsid w:val="00751448"/>
    <w:rsid w:val="00751A09"/>
    <w:rsid w:val="0075383C"/>
    <w:rsid w:val="00754147"/>
    <w:rsid w:val="007541E4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A71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7F6959"/>
    <w:rsid w:val="0080157D"/>
    <w:rsid w:val="0080381B"/>
    <w:rsid w:val="0080627B"/>
    <w:rsid w:val="008117C0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3607A"/>
    <w:rsid w:val="00840376"/>
    <w:rsid w:val="00845A89"/>
    <w:rsid w:val="00845F36"/>
    <w:rsid w:val="008521F9"/>
    <w:rsid w:val="008527A7"/>
    <w:rsid w:val="00853603"/>
    <w:rsid w:val="008550E7"/>
    <w:rsid w:val="00856D92"/>
    <w:rsid w:val="00857ADB"/>
    <w:rsid w:val="00866267"/>
    <w:rsid w:val="008666C1"/>
    <w:rsid w:val="00866773"/>
    <w:rsid w:val="008706BC"/>
    <w:rsid w:val="00872CCF"/>
    <w:rsid w:val="00875E87"/>
    <w:rsid w:val="00890A44"/>
    <w:rsid w:val="00891DDA"/>
    <w:rsid w:val="00894724"/>
    <w:rsid w:val="00895A24"/>
    <w:rsid w:val="008A09D1"/>
    <w:rsid w:val="008A37FE"/>
    <w:rsid w:val="008B5F0B"/>
    <w:rsid w:val="008B78AD"/>
    <w:rsid w:val="008C37F3"/>
    <w:rsid w:val="008C5BE5"/>
    <w:rsid w:val="008C7FED"/>
    <w:rsid w:val="009012C9"/>
    <w:rsid w:val="0090408C"/>
    <w:rsid w:val="0090595F"/>
    <w:rsid w:val="0090670A"/>
    <w:rsid w:val="00906781"/>
    <w:rsid w:val="0091511C"/>
    <w:rsid w:val="009211BA"/>
    <w:rsid w:val="00922838"/>
    <w:rsid w:val="00931C05"/>
    <w:rsid w:val="009339E2"/>
    <w:rsid w:val="00937677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A7B29"/>
    <w:rsid w:val="009B21A4"/>
    <w:rsid w:val="009D1070"/>
    <w:rsid w:val="009D2804"/>
    <w:rsid w:val="009D3350"/>
    <w:rsid w:val="009D66DD"/>
    <w:rsid w:val="009E5B9F"/>
    <w:rsid w:val="009F0766"/>
    <w:rsid w:val="009F19B6"/>
    <w:rsid w:val="009F4B40"/>
    <w:rsid w:val="00A03853"/>
    <w:rsid w:val="00A11F99"/>
    <w:rsid w:val="00A14988"/>
    <w:rsid w:val="00A156D9"/>
    <w:rsid w:val="00A243BC"/>
    <w:rsid w:val="00A27943"/>
    <w:rsid w:val="00A31D43"/>
    <w:rsid w:val="00A322DC"/>
    <w:rsid w:val="00A36061"/>
    <w:rsid w:val="00A402C6"/>
    <w:rsid w:val="00A5008B"/>
    <w:rsid w:val="00A65CD4"/>
    <w:rsid w:val="00A70F4C"/>
    <w:rsid w:val="00A736E3"/>
    <w:rsid w:val="00A75648"/>
    <w:rsid w:val="00A75801"/>
    <w:rsid w:val="00A92D21"/>
    <w:rsid w:val="00AA00C5"/>
    <w:rsid w:val="00AA6478"/>
    <w:rsid w:val="00AA6A67"/>
    <w:rsid w:val="00AB2670"/>
    <w:rsid w:val="00AB2B0F"/>
    <w:rsid w:val="00AB6D5F"/>
    <w:rsid w:val="00AC096E"/>
    <w:rsid w:val="00AC5736"/>
    <w:rsid w:val="00AC69B7"/>
    <w:rsid w:val="00AC7691"/>
    <w:rsid w:val="00AD689E"/>
    <w:rsid w:val="00AD7D4A"/>
    <w:rsid w:val="00AD7D6F"/>
    <w:rsid w:val="00AE5298"/>
    <w:rsid w:val="00AE5A16"/>
    <w:rsid w:val="00AF0A71"/>
    <w:rsid w:val="00AF2833"/>
    <w:rsid w:val="00AF2A0E"/>
    <w:rsid w:val="00B03355"/>
    <w:rsid w:val="00B0469B"/>
    <w:rsid w:val="00B12716"/>
    <w:rsid w:val="00B127DF"/>
    <w:rsid w:val="00B14566"/>
    <w:rsid w:val="00B237EB"/>
    <w:rsid w:val="00B24D94"/>
    <w:rsid w:val="00B268E1"/>
    <w:rsid w:val="00B269D7"/>
    <w:rsid w:val="00B303C2"/>
    <w:rsid w:val="00B30C58"/>
    <w:rsid w:val="00B3243C"/>
    <w:rsid w:val="00B362C3"/>
    <w:rsid w:val="00B40897"/>
    <w:rsid w:val="00B43F7F"/>
    <w:rsid w:val="00B500EE"/>
    <w:rsid w:val="00B63A00"/>
    <w:rsid w:val="00B651CC"/>
    <w:rsid w:val="00B676AD"/>
    <w:rsid w:val="00B73F27"/>
    <w:rsid w:val="00B74C14"/>
    <w:rsid w:val="00B846E9"/>
    <w:rsid w:val="00B92BAD"/>
    <w:rsid w:val="00B9520A"/>
    <w:rsid w:val="00B979F5"/>
    <w:rsid w:val="00BA07A7"/>
    <w:rsid w:val="00BA3056"/>
    <w:rsid w:val="00BB47F3"/>
    <w:rsid w:val="00BB75C0"/>
    <w:rsid w:val="00BC0513"/>
    <w:rsid w:val="00BC351D"/>
    <w:rsid w:val="00BD0ED0"/>
    <w:rsid w:val="00BD5BAD"/>
    <w:rsid w:val="00BD6876"/>
    <w:rsid w:val="00BE7259"/>
    <w:rsid w:val="00C10571"/>
    <w:rsid w:val="00C14B11"/>
    <w:rsid w:val="00C209F0"/>
    <w:rsid w:val="00C24E7B"/>
    <w:rsid w:val="00C331FF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65FED"/>
    <w:rsid w:val="00C74F01"/>
    <w:rsid w:val="00C83D98"/>
    <w:rsid w:val="00C86F3A"/>
    <w:rsid w:val="00C87593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5ADB"/>
    <w:rsid w:val="00D4719D"/>
    <w:rsid w:val="00D47863"/>
    <w:rsid w:val="00D51301"/>
    <w:rsid w:val="00D619CB"/>
    <w:rsid w:val="00D62515"/>
    <w:rsid w:val="00D647CE"/>
    <w:rsid w:val="00D66E92"/>
    <w:rsid w:val="00D75966"/>
    <w:rsid w:val="00D76DA8"/>
    <w:rsid w:val="00D76EB9"/>
    <w:rsid w:val="00D97840"/>
    <w:rsid w:val="00DC0F80"/>
    <w:rsid w:val="00DC1C67"/>
    <w:rsid w:val="00DD3796"/>
    <w:rsid w:val="00DD7D0E"/>
    <w:rsid w:val="00DF02D4"/>
    <w:rsid w:val="00DF2AD8"/>
    <w:rsid w:val="00DF7FCB"/>
    <w:rsid w:val="00E066BD"/>
    <w:rsid w:val="00E1736F"/>
    <w:rsid w:val="00E17FF5"/>
    <w:rsid w:val="00E23DCE"/>
    <w:rsid w:val="00E26009"/>
    <w:rsid w:val="00E26AE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75697"/>
    <w:rsid w:val="00E81909"/>
    <w:rsid w:val="00E83D4E"/>
    <w:rsid w:val="00E84A18"/>
    <w:rsid w:val="00E84C25"/>
    <w:rsid w:val="00E84FF9"/>
    <w:rsid w:val="00E93BC2"/>
    <w:rsid w:val="00E97AA2"/>
    <w:rsid w:val="00EA3D84"/>
    <w:rsid w:val="00EA7020"/>
    <w:rsid w:val="00EB2FD4"/>
    <w:rsid w:val="00EB3FBF"/>
    <w:rsid w:val="00EB7300"/>
    <w:rsid w:val="00EC5664"/>
    <w:rsid w:val="00ED1843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20F2"/>
    <w:rsid w:val="00F640B5"/>
    <w:rsid w:val="00F67176"/>
    <w:rsid w:val="00F711B9"/>
    <w:rsid w:val="00F765BA"/>
    <w:rsid w:val="00F80572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0374"/>
    <w:rsid w:val="00FC1058"/>
    <w:rsid w:val="00FC18D8"/>
    <w:rsid w:val="00FC7BB3"/>
    <w:rsid w:val="00FC7D4F"/>
    <w:rsid w:val="00FD0CCE"/>
    <w:rsid w:val="00FE33E2"/>
    <w:rsid w:val="00FE48C9"/>
    <w:rsid w:val="00FE69B2"/>
    <w:rsid w:val="00FF3C1F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CFE04F4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字符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字符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1165</Words>
  <Characters>1979</Characters>
  <Lines>15</Lines>
  <Paragraphs>4</Paragraphs>
  <TotalTime>97</TotalTime>
  <ScaleCrop>false</ScaleCrop>
  <LinksUpToDate>false</LinksUpToDate>
  <CharactersWithSpaces>2117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2025-09-11T04:39:00Z</dcterms:created>
  <dc:creator>胡胜链</dc:creator>
  <cp:lastModifiedBy>shellshell___</cp:lastModifiedBy>
  <cp:lastPrinted>2025-09-11T06:36:00Z</cp:lastPrinted>
  <dcterms:modified xsi:type="dcterms:W3CDTF">2025-09-20T03:00:56Z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2B471E9829D943CC9FD6313CB9E653FD_13</vt:lpwstr>
  </property>
</Properties>
</file>