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7B092">
      <w:pPr>
        <w:jc w:val="center"/>
        <w:rPr>
          <w:rStyle w:val="5"/>
          <w:rFonts w:eastAsia="方正小标宋简体"/>
          <w:bCs w:val="0"/>
          <w:color w:val="auto"/>
          <w:sz w:val="36"/>
          <w:szCs w:val="36"/>
        </w:rPr>
      </w:pPr>
      <w:bookmarkStart w:id="0" w:name="_GoBack"/>
      <w:bookmarkEnd w:id="0"/>
      <w:r>
        <w:rPr>
          <w:rStyle w:val="5"/>
          <w:rFonts w:eastAsia="方正小标宋简体"/>
          <w:b w:val="0"/>
          <w:color w:val="auto"/>
          <w:sz w:val="36"/>
          <w:szCs w:val="36"/>
        </w:rPr>
        <w:t>浙江省科学技术奖公示信息表</w:t>
      </w:r>
      <w:r>
        <w:rPr>
          <w:rStyle w:val="5"/>
          <w:rFonts w:eastAsia="仿宋_GB2312"/>
          <w:b w:val="0"/>
          <w:color w:val="auto"/>
          <w:sz w:val="32"/>
          <w:szCs w:val="32"/>
        </w:rPr>
        <w:t>（单位提名）</w:t>
      </w:r>
    </w:p>
    <w:p w14:paraId="19433314">
      <w:pPr>
        <w:spacing w:line="440" w:lineRule="exact"/>
        <w:rPr>
          <w:rFonts w:eastAsia="仿宋_GB2312"/>
          <w:sz w:val="28"/>
          <w:szCs w:val="24"/>
        </w:rPr>
      </w:pPr>
      <w:r>
        <w:rPr>
          <w:rFonts w:eastAsia="仿宋_GB2312"/>
          <w:sz w:val="28"/>
          <w:szCs w:val="24"/>
        </w:rPr>
        <w:t>提名奖项：科学技术进步奖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0EA93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5AA2D027">
            <w:pPr>
              <w:jc w:val="center"/>
              <w:rPr>
                <w:rStyle w:val="5"/>
                <w:rFonts w:eastAsia="仿宋_GB2312"/>
                <w:b w:val="0"/>
                <w:color w:val="auto"/>
                <w:sz w:val="28"/>
              </w:rPr>
            </w:pPr>
            <w:r>
              <w:rPr>
                <w:rStyle w:val="5"/>
                <w:rFonts w:eastAsia="仿宋_GB2312"/>
                <w:b w:val="0"/>
                <w:bCs w:val="0"/>
                <w:color w:val="auto"/>
                <w:sz w:val="28"/>
              </w:rPr>
              <w:t>成果名称</w:t>
            </w:r>
          </w:p>
        </w:tc>
        <w:tc>
          <w:tcPr>
            <w:tcW w:w="6237" w:type="dxa"/>
            <w:vAlign w:val="center"/>
          </w:tcPr>
          <w:p w14:paraId="62DA0D1F">
            <w:pPr>
              <w:jc w:val="center"/>
              <w:rPr>
                <w:rStyle w:val="5"/>
                <w:rFonts w:eastAsia="仿宋_GB2312"/>
                <w:b w:val="0"/>
                <w:color w:val="auto"/>
                <w:szCs w:val="22"/>
              </w:rPr>
            </w:pPr>
            <w:r>
              <w:rPr>
                <w:rStyle w:val="5"/>
                <w:rFonts w:hint="eastAsia" w:eastAsia="仿宋_GB2312"/>
                <w:b w:val="0"/>
                <w:color w:val="auto"/>
                <w:szCs w:val="22"/>
              </w:rPr>
              <w:t>领域自适应的智能监管关键技术</w:t>
            </w:r>
            <w:r>
              <w:rPr>
                <w:rStyle w:val="5"/>
                <w:rFonts w:hint="eastAsia" w:eastAsia="仿宋_GB2312"/>
                <w:b w:val="0"/>
                <w:color w:val="auto"/>
                <w:szCs w:val="22"/>
                <w:lang w:val="en-US" w:eastAsia="zh-CN"/>
              </w:rPr>
              <w:t>与</w:t>
            </w:r>
            <w:r>
              <w:rPr>
                <w:rStyle w:val="5"/>
                <w:rFonts w:hint="eastAsia" w:eastAsia="仿宋_GB2312"/>
                <w:b w:val="0"/>
                <w:color w:val="auto"/>
                <w:szCs w:val="22"/>
              </w:rPr>
              <w:t>应用</w:t>
            </w:r>
          </w:p>
        </w:tc>
      </w:tr>
      <w:tr w14:paraId="79EE5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5C6DE373">
            <w:pPr>
              <w:jc w:val="center"/>
              <w:rPr>
                <w:rStyle w:val="5"/>
                <w:rFonts w:eastAsia="仿宋_GB2312"/>
                <w:b w:val="0"/>
                <w:color w:val="auto"/>
                <w:sz w:val="28"/>
              </w:rPr>
            </w:pPr>
            <w:r>
              <w:rPr>
                <w:rStyle w:val="5"/>
                <w:rFonts w:eastAsia="仿宋_GB2312"/>
                <w:b w:val="0"/>
                <w:bCs w:val="0"/>
                <w:color w:val="auto"/>
                <w:sz w:val="28"/>
              </w:rPr>
              <w:t>提名等级</w:t>
            </w:r>
          </w:p>
        </w:tc>
        <w:tc>
          <w:tcPr>
            <w:tcW w:w="6237" w:type="dxa"/>
            <w:vAlign w:val="center"/>
          </w:tcPr>
          <w:p w14:paraId="335885CD">
            <w:pPr>
              <w:jc w:val="center"/>
              <w:rPr>
                <w:rStyle w:val="5"/>
                <w:rFonts w:eastAsia="仿宋_GB2312"/>
                <w:b w:val="0"/>
                <w:color w:val="auto"/>
                <w:szCs w:val="22"/>
              </w:rPr>
            </w:pPr>
            <w:r>
              <w:rPr>
                <w:rStyle w:val="5"/>
                <w:rFonts w:hint="eastAsia" w:eastAsia="仿宋_GB2312"/>
                <w:b w:val="0"/>
                <w:color w:val="auto"/>
                <w:szCs w:val="22"/>
              </w:rPr>
              <w:t>一等奖</w:t>
            </w:r>
          </w:p>
        </w:tc>
      </w:tr>
      <w:tr w14:paraId="38C5D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44A06263">
            <w:pPr>
              <w:spacing w:line="440" w:lineRule="exact"/>
              <w:jc w:val="center"/>
              <w:rPr>
                <w:rFonts w:eastAsia="仿宋_GB2312"/>
                <w:bCs/>
                <w:sz w:val="28"/>
                <w:szCs w:val="24"/>
              </w:rPr>
            </w:pPr>
            <w:r>
              <w:rPr>
                <w:rFonts w:eastAsia="仿宋_GB2312"/>
                <w:bCs/>
                <w:sz w:val="28"/>
                <w:szCs w:val="24"/>
              </w:rPr>
              <w:t>提名书</w:t>
            </w:r>
          </w:p>
          <w:p w14:paraId="40F2CEFE">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5278D20C">
            <w:pPr>
              <w:numPr>
                <w:ilvl w:val="0"/>
                <w:numId w:val="1"/>
              </w:numPr>
              <w:spacing w:line="440" w:lineRule="exact"/>
              <w:jc w:val="left"/>
              <w:rPr>
                <w:rFonts w:eastAsia="仿宋_GB2312"/>
                <w:bCs/>
                <w:sz w:val="22"/>
                <w:szCs w:val="22"/>
              </w:rPr>
            </w:pPr>
            <w:r>
              <w:rPr>
                <w:rFonts w:hint="eastAsia" w:eastAsia="仿宋_GB2312"/>
                <w:bCs/>
                <w:sz w:val="22"/>
                <w:szCs w:val="22"/>
              </w:rPr>
              <w:t>国家标准：《</w:t>
            </w:r>
            <w:r>
              <w:rPr>
                <w:rFonts w:eastAsia="仿宋_GB2312"/>
                <w:bCs/>
                <w:sz w:val="22"/>
                <w:szCs w:val="22"/>
              </w:rPr>
              <w:t>健康信息学 互联网健康服务网络架构</w:t>
            </w:r>
            <w:r>
              <w:rPr>
                <w:rFonts w:hint="eastAsia" w:eastAsia="仿宋_GB2312"/>
                <w:bCs/>
                <w:sz w:val="22"/>
                <w:szCs w:val="22"/>
              </w:rPr>
              <w:t>》，20242750-Z-424</w:t>
            </w:r>
          </w:p>
          <w:p w14:paraId="6921BBDF">
            <w:pPr>
              <w:numPr>
                <w:ilvl w:val="0"/>
                <w:numId w:val="1"/>
              </w:numPr>
              <w:spacing w:line="440" w:lineRule="exact"/>
              <w:jc w:val="left"/>
              <w:rPr>
                <w:rFonts w:eastAsia="仿宋_GB2312"/>
                <w:bCs/>
                <w:sz w:val="22"/>
                <w:szCs w:val="22"/>
              </w:rPr>
            </w:pPr>
            <w:r>
              <w:rPr>
                <w:rFonts w:hint="eastAsia" w:eastAsia="仿宋_GB2312"/>
                <w:bCs/>
                <w:sz w:val="22"/>
                <w:szCs w:val="22"/>
              </w:rPr>
              <w:t>PCT专利：</w:t>
            </w:r>
            <w:r>
              <w:rPr>
                <w:rFonts w:eastAsia="仿宋_GB2312"/>
                <w:bCs/>
                <w:sz w:val="22"/>
                <w:szCs w:val="22"/>
              </w:rPr>
              <w:t>Service packaging method based on web page</w:t>
            </w:r>
            <w:r>
              <w:rPr>
                <w:rFonts w:hint="eastAsia" w:eastAsia="仿宋_GB2312"/>
                <w:bCs/>
                <w:sz w:val="22"/>
                <w:szCs w:val="22"/>
              </w:rPr>
              <w:t xml:space="preserve"> </w:t>
            </w:r>
            <w:r>
              <w:rPr>
                <w:rFonts w:eastAsia="仿宋_GB2312"/>
                <w:bCs/>
                <w:sz w:val="22"/>
                <w:szCs w:val="22"/>
              </w:rPr>
              <w:t>segmentation and search algorithm</w:t>
            </w:r>
            <w:r>
              <w:rPr>
                <w:rFonts w:hint="eastAsia" w:eastAsia="仿宋_GB2312"/>
                <w:bCs/>
                <w:sz w:val="22"/>
                <w:szCs w:val="22"/>
              </w:rPr>
              <w:t>，US12050652B2，浙江大学</w:t>
            </w:r>
          </w:p>
          <w:p w14:paraId="690C82A2">
            <w:pPr>
              <w:numPr>
                <w:ilvl w:val="0"/>
                <w:numId w:val="1"/>
              </w:numPr>
              <w:spacing w:line="440" w:lineRule="exact"/>
              <w:jc w:val="left"/>
              <w:rPr>
                <w:rFonts w:eastAsia="仿宋_GB2312"/>
                <w:bCs/>
                <w:sz w:val="22"/>
                <w:szCs w:val="22"/>
              </w:rPr>
            </w:pPr>
            <w:r>
              <w:rPr>
                <w:rFonts w:hint="eastAsia" w:eastAsia="仿宋_GB2312"/>
                <w:bCs/>
                <w:sz w:val="22"/>
                <w:szCs w:val="22"/>
              </w:rPr>
              <w:t>PCT专利：Semantic segmentation method for cross-satellite remote sensing images based on unsupervised bidirectional domain adaptation and fusion，US 2024/0212162 A1，浙江大学</w:t>
            </w:r>
          </w:p>
          <w:p w14:paraId="2566C1ED">
            <w:pPr>
              <w:numPr>
                <w:ilvl w:val="0"/>
                <w:numId w:val="1"/>
              </w:numPr>
              <w:spacing w:line="440" w:lineRule="exact"/>
              <w:jc w:val="left"/>
              <w:rPr>
                <w:rFonts w:eastAsia="仿宋_GB2312"/>
                <w:bCs/>
                <w:sz w:val="22"/>
                <w:szCs w:val="22"/>
              </w:rPr>
            </w:pPr>
            <w:r>
              <w:rPr>
                <w:rFonts w:hint="eastAsia" w:eastAsia="仿宋_GB2312"/>
                <w:bCs/>
                <w:sz w:val="22"/>
                <w:szCs w:val="22"/>
              </w:rPr>
              <w:t>PCT专利：</w:t>
            </w:r>
            <w:r>
              <w:rPr>
                <w:rFonts w:eastAsia="仿宋_GB2312"/>
                <w:bCs/>
                <w:sz w:val="22"/>
                <w:szCs w:val="22"/>
              </w:rPr>
              <w:t>Missing medical diagnosis data imputation method and apparatus,electronic device, and medium</w:t>
            </w:r>
            <w:r>
              <w:rPr>
                <w:rFonts w:hint="eastAsia" w:eastAsia="仿宋_GB2312"/>
                <w:bCs/>
                <w:sz w:val="22"/>
                <w:szCs w:val="22"/>
              </w:rPr>
              <w:t>，US12119114B2 ，浙江大学</w:t>
            </w:r>
          </w:p>
          <w:p w14:paraId="1189DD83">
            <w:pPr>
              <w:numPr>
                <w:ilvl w:val="0"/>
                <w:numId w:val="1"/>
              </w:numPr>
              <w:spacing w:line="440" w:lineRule="exact"/>
              <w:jc w:val="left"/>
              <w:rPr>
                <w:rFonts w:eastAsia="仿宋_GB2312"/>
                <w:bCs/>
                <w:sz w:val="22"/>
                <w:szCs w:val="22"/>
              </w:rPr>
            </w:pPr>
            <w:r>
              <w:rPr>
                <w:rFonts w:hint="eastAsia" w:eastAsia="仿宋_GB2312"/>
                <w:bCs/>
                <w:sz w:val="22"/>
                <w:szCs w:val="22"/>
              </w:rPr>
              <w:t>国家发明专利：多模态大模型的训练方法、装置、存储介质和电子设备，ZL202411650667.6，杭州海康威视数字技术股份有限公司</w:t>
            </w:r>
          </w:p>
          <w:p w14:paraId="7822BF0D">
            <w:pPr>
              <w:numPr>
                <w:ilvl w:val="0"/>
                <w:numId w:val="1"/>
              </w:numPr>
              <w:spacing w:line="440" w:lineRule="exact"/>
              <w:jc w:val="left"/>
              <w:rPr>
                <w:rFonts w:eastAsia="仿宋_GB2312"/>
                <w:bCs/>
                <w:sz w:val="22"/>
                <w:szCs w:val="22"/>
              </w:rPr>
            </w:pPr>
            <w:r>
              <w:rPr>
                <w:rFonts w:hint="eastAsia" w:eastAsia="仿宋_GB2312"/>
                <w:bCs/>
                <w:sz w:val="22"/>
                <w:szCs w:val="22"/>
              </w:rPr>
              <w:t>国家发明专利：一种机器阅读理解的数据处理方法、装置、设备及介质，ZL202210217689.8，恒生电子股份有限公司</w:t>
            </w:r>
          </w:p>
          <w:p w14:paraId="1FB57AA8">
            <w:pPr>
              <w:numPr>
                <w:ilvl w:val="0"/>
                <w:numId w:val="1"/>
              </w:numPr>
              <w:spacing w:line="440" w:lineRule="exact"/>
              <w:jc w:val="left"/>
              <w:rPr>
                <w:rFonts w:eastAsia="仿宋_GB2312"/>
                <w:bCs/>
                <w:sz w:val="22"/>
                <w:szCs w:val="22"/>
              </w:rPr>
            </w:pPr>
            <w:r>
              <w:rPr>
                <w:rFonts w:hint="eastAsia" w:eastAsia="仿宋_GB2312"/>
                <w:bCs/>
                <w:sz w:val="22"/>
                <w:szCs w:val="22"/>
              </w:rPr>
              <w:t>学术论文：</w:t>
            </w:r>
            <w:r>
              <w:rPr>
                <w:rFonts w:eastAsia="仿宋_GB2312"/>
                <w:bCs/>
                <w:sz w:val="22"/>
                <w:szCs w:val="22"/>
              </w:rPr>
              <w:t>Chen C, Feng X, Li Y, et al. Integration of large language models and federated learning[J]. Patterns, 2024, 5(12).</w:t>
            </w:r>
          </w:p>
          <w:p w14:paraId="1BF39DDD">
            <w:pPr>
              <w:numPr>
                <w:ilvl w:val="0"/>
                <w:numId w:val="1"/>
              </w:numPr>
              <w:spacing w:line="440" w:lineRule="exact"/>
              <w:jc w:val="left"/>
              <w:rPr>
                <w:rFonts w:eastAsia="仿宋_GB2312"/>
                <w:bCs/>
                <w:sz w:val="22"/>
                <w:szCs w:val="22"/>
              </w:rPr>
            </w:pPr>
            <w:r>
              <w:rPr>
                <w:rFonts w:hint="eastAsia" w:eastAsia="仿宋_GB2312"/>
                <w:bCs/>
                <w:sz w:val="22"/>
                <w:szCs w:val="22"/>
              </w:rPr>
              <w:t>学术论文：Z. Zhang et al., Enhancing Ultrahigh Resolution Remote Sensing Imagery Analysis With ImageRAG: A new framework, in IEEE Geoscience and Remote Sensing Magazine, doi: 10.1109/MGRS.2025.3574742.</w:t>
            </w:r>
          </w:p>
          <w:p w14:paraId="6CAD9CC7">
            <w:pPr>
              <w:numPr>
                <w:ilvl w:val="0"/>
                <w:numId w:val="1"/>
              </w:numPr>
              <w:spacing w:line="440" w:lineRule="exact"/>
              <w:jc w:val="left"/>
              <w:rPr>
                <w:rFonts w:eastAsia="仿宋_GB2312"/>
                <w:bCs/>
                <w:sz w:val="22"/>
                <w:szCs w:val="22"/>
              </w:rPr>
            </w:pPr>
            <w:r>
              <w:rPr>
                <w:rFonts w:hint="eastAsia" w:eastAsia="仿宋_GB2312"/>
                <w:bCs/>
                <w:sz w:val="22"/>
                <w:szCs w:val="22"/>
              </w:rPr>
              <w:t>学术论文：</w:t>
            </w:r>
            <w:r>
              <w:rPr>
                <w:rFonts w:eastAsia="仿宋_GB2312"/>
                <w:bCs/>
                <w:sz w:val="22"/>
                <w:szCs w:val="22"/>
              </w:rPr>
              <w:t>Sun Y, Chen M, Zhao T, et al. The Self-Improvement Paradox: Can Language Models Bootstrap Reasoning Capabilities without External Scaffolding?</w:t>
            </w:r>
            <w:r>
              <w:rPr>
                <w:rFonts w:hint="eastAsia" w:eastAsia="仿宋_GB2312"/>
                <w:bCs/>
                <w:sz w:val="22"/>
                <w:szCs w:val="22"/>
              </w:rPr>
              <w:t>ACL</w:t>
            </w:r>
            <w:r>
              <w:rPr>
                <w:rFonts w:eastAsia="仿宋_GB2312"/>
                <w:bCs/>
                <w:sz w:val="22"/>
                <w:szCs w:val="22"/>
              </w:rPr>
              <w:t>, 2025.</w:t>
            </w:r>
          </w:p>
          <w:p w14:paraId="584120B0">
            <w:pPr>
              <w:numPr>
                <w:ilvl w:val="0"/>
                <w:numId w:val="1"/>
              </w:numPr>
              <w:spacing w:line="440" w:lineRule="exact"/>
              <w:jc w:val="left"/>
              <w:rPr>
                <w:rFonts w:eastAsia="仿宋_GB2312"/>
                <w:bCs/>
                <w:sz w:val="24"/>
                <w:szCs w:val="24"/>
              </w:rPr>
            </w:pPr>
            <w:r>
              <w:rPr>
                <w:rFonts w:eastAsia="仿宋_GB2312"/>
                <w:bCs/>
                <w:sz w:val="22"/>
                <w:szCs w:val="22"/>
              </w:rPr>
              <w:t xml:space="preserve">Sun Y, Chen M, Zhao T, et al. HORAE: A Domain-Agnostic Language for Automated Service Regulation. </w:t>
            </w:r>
            <w:r>
              <w:rPr>
                <w:rFonts w:hint="eastAsia" w:eastAsia="仿宋_GB2312"/>
                <w:bCs/>
                <w:sz w:val="22"/>
                <w:szCs w:val="22"/>
              </w:rPr>
              <w:t>IJCAI</w:t>
            </w:r>
            <w:r>
              <w:rPr>
                <w:rFonts w:eastAsia="仿宋_GB2312"/>
                <w:bCs/>
                <w:sz w:val="22"/>
                <w:szCs w:val="22"/>
              </w:rPr>
              <w:t>, 2025.</w:t>
            </w:r>
          </w:p>
        </w:tc>
      </w:tr>
      <w:tr w14:paraId="5809E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1C5C3C6F">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2E068DCA">
            <w:pPr>
              <w:spacing w:line="440" w:lineRule="exact"/>
              <w:rPr>
                <w:rFonts w:eastAsia="仿宋_GB2312"/>
                <w:bCs/>
                <w:sz w:val="22"/>
                <w:szCs w:val="22"/>
              </w:rPr>
            </w:pPr>
            <w:r>
              <w:rPr>
                <w:rFonts w:hint="eastAsia" w:eastAsia="仿宋_GB2312"/>
                <w:bCs/>
                <w:sz w:val="22"/>
                <w:szCs w:val="22"/>
              </w:rPr>
              <w:t>尹建伟，1，教授，浙江大学；</w:t>
            </w:r>
          </w:p>
          <w:p w14:paraId="1E3194B9">
            <w:pPr>
              <w:spacing w:line="440" w:lineRule="exact"/>
              <w:rPr>
                <w:rFonts w:eastAsia="仿宋_GB2312"/>
                <w:bCs/>
                <w:sz w:val="22"/>
                <w:szCs w:val="22"/>
              </w:rPr>
            </w:pPr>
            <w:r>
              <w:rPr>
                <w:rFonts w:hint="eastAsia" w:eastAsia="仿宋_GB2312"/>
                <w:bCs/>
                <w:sz w:val="22"/>
                <w:szCs w:val="22"/>
              </w:rPr>
              <w:t>邓水光，2，教授，浙江大学宁波国际科创中心；</w:t>
            </w:r>
          </w:p>
          <w:p w14:paraId="60C1E5CB">
            <w:pPr>
              <w:spacing w:line="440" w:lineRule="exact"/>
              <w:rPr>
                <w:rFonts w:eastAsia="仿宋_GB2312"/>
                <w:bCs/>
                <w:sz w:val="22"/>
                <w:szCs w:val="22"/>
              </w:rPr>
            </w:pPr>
            <w:r>
              <w:rPr>
                <w:rFonts w:hint="eastAsia" w:eastAsia="仿宋_GB2312"/>
                <w:bCs/>
                <w:sz w:val="22"/>
                <w:szCs w:val="22"/>
              </w:rPr>
              <w:t>林金曙，3，高级工程师，恒生电子股份有限公司；</w:t>
            </w:r>
          </w:p>
          <w:p w14:paraId="1A5CBCED">
            <w:pPr>
              <w:spacing w:line="440" w:lineRule="exact"/>
              <w:rPr>
                <w:rFonts w:eastAsia="仿宋_GB2312"/>
                <w:bCs/>
                <w:sz w:val="22"/>
                <w:szCs w:val="22"/>
              </w:rPr>
            </w:pPr>
            <w:r>
              <w:rPr>
                <w:rFonts w:hint="eastAsia" w:eastAsia="仿宋_GB2312"/>
                <w:bCs/>
                <w:sz w:val="22"/>
                <w:szCs w:val="22"/>
              </w:rPr>
              <w:t>于亮，4，高级工程师，</w:t>
            </w:r>
            <w:r>
              <w:rPr>
                <w:rFonts w:eastAsia="仿宋_GB2312"/>
                <w:bCs/>
                <w:sz w:val="22"/>
                <w:szCs w:val="22"/>
              </w:rPr>
              <w:t>杭州海康威视数字技术</w:t>
            </w:r>
            <w:r>
              <w:rPr>
                <w:rFonts w:hint="eastAsia" w:eastAsia="仿宋_GB2312"/>
                <w:bCs/>
                <w:sz w:val="22"/>
                <w:szCs w:val="22"/>
              </w:rPr>
              <w:t>股份</w:t>
            </w:r>
            <w:r>
              <w:rPr>
                <w:rFonts w:eastAsia="仿宋_GB2312"/>
                <w:bCs/>
                <w:sz w:val="22"/>
                <w:szCs w:val="22"/>
              </w:rPr>
              <w:t>有限公司</w:t>
            </w:r>
            <w:r>
              <w:rPr>
                <w:rFonts w:hint="eastAsia" w:eastAsia="仿宋_GB2312"/>
                <w:bCs/>
                <w:sz w:val="22"/>
                <w:szCs w:val="22"/>
              </w:rPr>
              <w:t>；</w:t>
            </w:r>
          </w:p>
          <w:p w14:paraId="3FF657AE">
            <w:pPr>
              <w:spacing w:line="440" w:lineRule="exact"/>
              <w:rPr>
                <w:rFonts w:eastAsia="仿宋_GB2312"/>
                <w:bCs/>
                <w:sz w:val="22"/>
                <w:szCs w:val="22"/>
              </w:rPr>
            </w:pPr>
            <w:r>
              <w:rPr>
                <w:rFonts w:hint="eastAsia" w:eastAsia="仿宋_GB2312"/>
                <w:bCs/>
                <w:sz w:val="22"/>
                <w:szCs w:val="22"/>
              </w:rPr>
              <w:t>陈明帅，5，研究员，浙江大学；</w:t>
            </w:r>
          </w:p>
          <w:p w14:paraId="587D1141">
            <w:pPr>
              <w:spacing w:line="440" w:lineRule="exact"/>
              <w:rPr>
                <w:rFonts w:eastAsia="仿宋_GB2312"/>
                <w:bCs/>
                <w:sz w:val="22"/>
                <w:szCs w:val="22"/>
              </w:rPr>
            </w:pPr>
            <w:r>
              <w:rPr>
                <w:rFonts w:hint="eastAsia" w:eastAsia="仿宋_GB2312"/>
                <w:bCs/>
                <w:sz w:val="22"/>
                <w:szCs w:val="22"/>
              </w:rPr>
              <w:t>张旭鸿，6，研究员，浙江大学宁波国际科创中心；</w:t>
            </w:r>
          </w:p>
          <w:p w14:paraId="7E152A86">
            <w:pPr>
              <w:spacing w:line="440" w:lineRule="exact"/>
              <w:rPr>
                <w:rFonts w:eastAsia="仿宋_GB2312"/>
                <w:bCs/>
                <w:sz w:val="22"/>
                <w:szCs w:val="22"/>
              </w:rPr>
            </w:pPr>
            <w:r>
              <w:rPr>
                <w:rFonts w:hint="eastAsia" w:eastAsia="仿宋_GB2312"/>
                <w:bCs/>
                <w:sz w:val="22"/>
                <w:szCs w:val="22"/>
              </w:rPr>
              <w:t>陈锦涛，7，研究员，浙江大学宁波国际科创中心；</w:t>
            </w:r>
          </w:p>
          <w:p w14:paraId="43BA47AC">
            <w:pPr>
              <w:spacing w:line="440" w:lineRule="exact"/>
              <w:rPr>
                <w:rFonts w:eastAsia="仿宋_GB2312"/>
                <w:bCs/>
                <w:sz w:val="22"/>
                <w:szCs w:val="22"/>
              </w:rPr>
            </w:pPr>
            <w:r>
              <w:rPr>
                <w:rFonts w:hint="eastAsia" w:eastAsia="仿宋_GB2312"/>
                <w:bCs/>
                <w:sz w:val="22"/>
                <w:szCs w:val="22"/>
              </w:rPr>
              <w:t>赵新奎，8，研究员，浙江大学；</w:t>
            </w:r>
          </w:p>
          <w:p w14:paraId="5F3806B5">
            <w:pPr>
              <w:spacing w:line="440" w:lineRule="exact"/>
              <w:rPr>
                <w:rFonts w:eastAsia="仿宋_GB2312"/>
                <w:bCs/>
                <w:sz w:val="22"/>
                <w:szCs w:val="22"/>
              </w:rPr>
            </w:pPr>
            <w:r>
              <w:rPr>
                <w:rFonts w:hint="eastAsia" w:eastAsia="仿宋_GB2312"/>
                <w:bCs/>
                <w:sz w:val="22"/>
                <w:szCs w:val="22"/>
              </w:rPr>
              <w:t>吴洋洋，9，研究员，浙江大学滨江研究院；</w:t>
            </w:r>
          </w:p>
          <w:p w14:paraId="55D9D989">
            <w:pPr>
              <w:spacing w:line="440" w:lineRule="exact"/>
              <w:rPr>
                <w:rFonts w:eastAsia="仿宋_GB2312"/>
                <w:bCs/>
                <w:sz w:val="22"/>
                <w:szCs w:val="22"/>
              </w:rPr>
            </w:pPr>
            <w:r>
              <w:rPr>
                <w:rFonts w:hint="eastAsia" w:eastAsia="仿宋_GB2312"/>
                <w:bCs/>
                <w:sz w:val="22"/>
                <w:szCs w:val="22"/>
              </w:rPr>
              <w:t>蔡钰祥，10，研究员，浙江大学；</w:t>
            </w:r>
          </w:p>
          <w:p w14:paraId="5380E8DC">
            <w:pPr>
              <w:spacing w:line="440" w:lineRule="exact"/>
              <w:rPr>
                <w:rFonts w:eastAsia="仿宋_GB2312"/>
                <w:bCs/>
                <w:sz w:val="22"/>
                <w:szCs w:val="22"/>
              </w:rPr>
            </w:pPr>
            <w:r>
              <w:rPr>
                <w:rFonts w:hint="eastAsia" w:eastAsia="仿宋_GB2312"/>
                <w:bCs/>
                <w:sz w:val="22"/>
                <w:szCs w:val="22"/>
              </w:rPr>
              <w:t>陈超超，11，研究员，浙江大学；</w:t>
            </w:r>
          </w:p>
          <w:p w14:paraId="6932BEC2">
            <w:pPr>
              <w:spacing w:line="440" w:lineRule="exact"/>
              <w:rPr>
                <w:rFonts w:eastAsia="仿宋_GB2312"/>
                <w:bCs/>
                <w:sz w:val="22"/>
                <w:szCs w:val="22"/>
              </w:rPr>
            </w:pPr>
            <w:r>
              <w:rPr>
                <w:rFonts w:hint="eastAsia" w:eastAsia="仿宋_GB2312"/>
                <w:bCs/>
                <w:sz w:val="22"/>
                <w:szCs w:val="22"/>
              </w:rPr>
              <w:t>郑航，12，高级工程师，八维通科技有限公司；</w:t>
            </w:r>
          </w:p>
          <w:p w14:paraId="5A069263">
            <w:pPr>
              <w:spacing w:line="440" w:lineRule="exact"/>
              <w:rPr>
                <w:sz w:val="24"/>
                <w:szCs w:val="24"/>
              </w:rPr>
            </w:pPr>
            <w:r>
              <w:rPr>
                <w:rFonts w:eastAsia="仿宋_GB2312"/>
                <w:bCs/>
                <w:sz w:val="22"/>
                <w:szCs w:val="22"/>
              </w:rPr>
              <w:t>程倬</w:t>
            </w:r>
            <w:r>
              <w:rPr>
                <w:rFonts w:hint="eastAsia" w:eastAsia="仿宋_GB2312"/>
                <w:bCs/>
                <w:sz w:val="22"/>
                <w:szCs w:val="22"/>
              </w:rPr>
              <w:t>，13，苏州市伏泰信息科技股份有限公司。</w:t>
            </w:r>
          </w:p>
        </w:tc>
      </w:tr>
      <w:tr w14:paraId="45B2B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1693950B">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39EBB1C5">
            <w:pPr>
              <w:spacing w:line="440" w:lineRule="exact"/>
              <w:rPr>
                <w:rFonts w:eastAsia="仿宋_GB2312"/>
                <w:bCs/>
                <w:sz w:val="22"/>
                <w:szCs w:val="22"/>
              </w:rPr>
            </w:pPr>
            <w:r>
              <w:rPr>
                <w:rFonts w:hint="eastAsia" w:eastAsia="仿宋_GB2312"/>
                <w:bCs/>
                <w:sz w:val="22"/>
                <w:szCs w:val="22"/>
              </w:rPr>
              <w:t>1.浙江大学</w:t>
            </w:r>
          </w:p>
          <w:p w14:paraId="62D1EACE">
            <w:pPr>
              <w:spacing w:line="440" w:lineRule="exact"/>
              <w:rPr>
                <w:rFonts w:eastAsia="仿宋_GB2312"/>
                <w:bCs/>
                <w:sz w:val="22"/>
                <w:szCs w:val="22"/>
              </w:rPr>
            </w:pPr>
            <w:r>
              <w:rPr>
                <w:rFonts w:hint="eastAsia" w:eastAsia="仿宋_GB2312"/>
                <w:bCs/>
                <w:sz w:val="22"/>
                <w:szCs w:val="22"/>
              </w:rPr>
              <w:t>2.浙江大学宁波国际科创中心</w:t>
            </w:r>
          </w:p>
          <w:p w14:paraId="78FFD5F0">
            <w:pPr>
              <w:spacing w:line="440" w:lineRule="exact"/>
              <w:rPr>
                <w:rFonts w:eastAsia="仿宋_GB2312"/>
                <w:bCs/>
                <w:sz w:val="22"/>
                <w:szCs w:val="22"/>
              </w:rPr>
            </w:pPr>
            <w:r>
              <w:rPr>
                <w:rFonts w:hint="eastAsia" w:eastAsia="仿宋_GB2312"/>
                <w:bCs/>
                <w:sz w:val="22"/>
                <w:szCs w:val="22"/>
              </w:rPr>
              <w:t>3.恒生电子股份有限公司</w:t>
            </w:r>
          </w:p>
          <w:p w14:paraId="084A981F">
            <w:pPr>
              <w:spacing w:line="440" w:lineRule="exact"/>
              <w:rPr>
                <w:rFonts w:eastAsia="仿宋_GB2312"/>
                <w:bCs/>
                <w:sz w:val="22"/>
                <w:szCs w:val="22"/>
              </w:rPr>
            </w:pPr>
            <w:r>
              <w:rPr>
                <w:rFonts w:hint="eastAsia" w:eastAsia="仿宋_GB2312"/>
                <w:bCs/>
                <w:sz w:val="22"/>
                <w:szCs w:val="22"/>
              </w:rPr>
              <w:t>4.</w:t>
            </w:r>
            <w:r>
              <w:rPr>
                <w:rFonts w:eastAsia="仿宋_GB2312"/>
                <w:bCs/>
                <w:sz w:val="22"/>
                <w:szCs w:val="22"/>
              </w:rPr>
              <w:t>杭州海康威视数字技术</w:t>
            </w:r>
            <w:r>
              <w:rPr>
                <w:rFonts w:hint="eastAsia" w:eastAsia="仿宋_GB2312"/>
                <w:bCs/>
                <w:sz w:val="22"/>
                <w:szCs w:val="22"/>
              </w:rPr>
              <w:t>股份</w:t>
            </w:r>
            <w:r>
              <w:rPr>
                <w:rFonts w:eastAsia="仿宋_GB2312"/>
                <w:bCs/>
                <w:sz w:val="22"/>
                <w:szCs w:val="22"/>
              </w:rPr>
              <w:t>有限公司</w:t>
            </w:r>
          </w:p>
          <w:p w14:paraId="5BCBC23E">
            <w:pPr>
              <w:spacing w:line="440" w:lineRule="exact"/>
              <w:rPr>
                <w:rFonts w:eastAsia="仿宋_GB2312"/>
                <w:bCs/>
                <w:sz w:val="22"/>
                <w:szCs w:val="22"/>
              </w:rPr>
            </w:pPr>
            <w:r>
              <w:rPr>
                <w:rFonts w:hint="eastAsia" w:eastAsia="仿宋_GB2312"/>
                <w:bCs/>
                <w:sz w:val="22"/>
                <w:szCs w:val="22"/>
              </w:rPr>
              <w:t>5.浙江大学滨江研究院</w:t>
            </w:r>
          </w:p>
          <w:p w14:paraId="0F167B83">
            <w:pPr>
              <w:spacing w:line="440" w:lineRule="exact"/>
              <w:rPr>
                <w:rFonts w:eastAsia="仿宋_GB2312"/>
                <w:bCs/>
                <w:sz w:val="22"/>
                <w:szCs w:val="22"/>
              </w:rPr>
            </w:pPr>
            <w:r>
              <w:rPr>
                <w:rFonts w:hint="eastAsia" w:eastAsia="仿宋_GB2312"/>
                <w:bCs/>
                <w:sz w:val="22"/>
                <w:szCs w:val="22"/>
              </w:rPr>
              <w:t>6.八维通科技有限公司</w:t>
            </w:r>
          </w:p>
          <w:p w14:paraId="0E54E630">
            <w:pPr>
              <w:spacing w:line="440" w:lineRule="exact"/>
              <w:rPr>
                <w:rFonts w:eastAsia="仿宋"/>
                <w:bCs/>
                <w:sz w:val="24"/>
                <w:szCs w:val="24"/>
              </w:rPr>
            </w:pPr>
            <w:r>
              <w:rPr>
                <w:rFonts w:hint="eastAsia" w:eastAsia="仿宋_GB2312"/>
                <w:bCs/>
                <w:sz w:val="22"/>
                <w:szCs w:val="22"/>
              </w:rPr>
              <w:t>7.苏州市伏泰信息科技股份有限公司</w:t>
            </w:r>
          </w:p>
        </w:tc>
      </w:tr>
      <w:tr w14:paraId="200B5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36DFF211">
            <w:pPr>
              <w:jc w:val="center"/>
              <w:rPr>
                <w:rStyle w:val="5"/>
                <w:rFonts w:eastAsia="仿宋_GB2312"/>
                <w:b w:val="0"/>
                <w:color w:val="auto"/>
                <w:sz w:val="28"/>
                <w:szCs w:val="28"/>
              </w:rPr>
            </w:pPr>
            <w:r>
              <w:rPr>
                <w:rStyle w:val="5"/>
                <w:rFonts w:eastAsia="仿宋_GB2312"/>
                <w:b w:val="0"/>
                <w:color w:val="auto"/>
                <w:sz w:val="28"/>
                <w:szCs w:val="28"/>
              </w:rPr>
              <w:t>提名单位</w:t>
            </w:r>
          </w:p>
        </w:tc>
        <w:tc>
          <w:tcPr>
            <w:tcW w:w="6237" w:type="dxa"/>
            <w:vAlign w:val="center"/>
          </w:tcPr>
          <w:p w14:paraId="428F89CA">
            <w:pPr>
              <w:contextualSpacing/>
              <w:jc w:val="center"/>
              <w:rPr>
                <w:rStyle w:val="5"/>
                <w:b w:val="0"/>
                <w:color w:val="auto"/>
              </w:rPr>
            </w:pPr>
            <w:r>
              <w:rPr>
                <w:rFonts w:hint="eastAsia" w:eastAsia="仿宋_GB2312"/>
                <w:bCs/>
                <w:sz w:val="22"/>
                <w:szCs w:val="22"/>
              </w:rPr>
              <w:t>浙江大学</w:t>
            </w:r>
          </w:p>
        </w:tc>
      </w:tr>
      <w:tr w14:paraId="5DE9F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46DCF2B0">
            <w:pPr>
              <w:jc w:val="center"/>
              <w:rPr>
                <w:rStyle w:val="5"/>
                <w:rFonts w:eastAsia="仿宋_GB2312"/>
                <w:b w:val="0"/>
                <w:color w:val="auto"/>
                <w:sz w:val="28"/>
                <w:szCs w:val="28"/>
              </w:rPr>
            </w:pPr>
            <w:r>
              <w:rPr>
                <w:rStyle w:val="5"/>
                <w:rFonts w:eastAsia="仿宋_GB2312"/>
                <w:b w:val="0"/>
                <w:color w:val="auto"/>
                <w:sz w:val="28"/>
                <w:szCs w:val="28"/>
              </w:rPr>
              <w:t>提名意见</w:t>
            </w:r>
          </w:p>
        </w:tc>
        <w:tc>
          <w:tcPr>
            <w:tcW w:w="6237" w:type="dxa"/>
            <w:vAlign w:val="center"/>
          </w:tcPr>
          <w:p w14:paraId="0A8A116F">
            <w:pPr>
              <w:spacing w:line="440" w:lineRule="exact"/>
              <w:rPr>
                <w:rStyle w:val="5"/>
                <w:b w:val="0"/>
                <w:color w:val="auto"/>
              </w:rPr>
            </w:pPr>
            <w:r>
              <w:rPr>
                <w:rFonts w:hint="eastAsia" w:eastAsia="仿宋_GB2312"/>
                <w:bCs/>
                <w:sz w:val="22"/>
                <w:szCs w:val="22"/>
              </w:rPr>
              <w:t>项目组在智能监管领域取得多项创新成果，近十年针对产业生态在快速发展的过程中面临着治理与监管滞后的问题，分别从监管需求、监管数据、监管模型三个维度进行智能监管技术研究、服务平台研制与示范应用推广，突破了多项关键技术，其中跨模态监管需求的元模型及统一建模语言、基于可信服务连接的数据协同获取以及跨域多源监管数据的智能补全等方法创新性突出，处于国际领先水平，使得多个应用场景下的监管需求解析性能、监管数据获取效率以及监管模型迁移效率等多项核心指标得到大幅提升。项目组累计发表高水平论文8</w:t>
            </w:r>
            <w:r>
              <w:rPr>
                <w:rFonts w:eastAsia="仿宋_GB2312"/>
                <w:bCs/>
                <w:sz w:val="22"/>
                <w:szCs w:val="22"/>
              </w:rPr>
              <w:t>0</w:t>
            </w:r>
            <w:r>
              <w:rPr>
                <w:rFonts w:hint="eastAsia" w:eastAsia="仿宋_GB2312"/>
                <w:bCs/>
                <w:sz w:val="22"/>
                <w:szCs w:val="22"/>
              </w:rPr>
              <w:t>余篇，获得</w:t>
            </w:r>
            <w:r>
              <w:rPr>
                <w:rFonts w:hint="eastAsia" w:eastAsia="仿宋_GB2312"/>
                <w:bCs/>
                <w:sz w:val="22"/>
                <w:szCs w:val="22"/>
                <w:lang w:val="en-US" w:eastAsia="zh-CN"/>
              </w:rPr>
              <w:t>8</w:t>
            </w:r>
            <w:r>
              <w:rPr>
                <w:rFonts w:hint="eastAsia" w:eastAsia="仿宋_GB2312"/>
                <w:bCs/>
                <w:sz w:val="22"/>
                <w:szCs w:val="22"/>
              </w:rPr>
              <w:t>项国际期刊和会议的最佳论文奖；发布2项ISO国际标准和</w:t>
            </w:r>
            <w:r>
              <w:rPr>
                <w:rFonts w:hint="eastAsia" w:eastAsia="仿宋_GB2312"/>
                <w:bCs/>
                <w:sz w:val="22"/>
                <w:szCs w:val="22"/>
                <w:lang w:val="en-US" w:eastAsia="zh-CN"/>
              </w:rPr>
              <w:t>2</w:t>
            </w:r>
            <w:r>
              <w:rPr>
                <w:rFonts w:hint="eastAsia" w:eastAsia="仿宋_GB2312"/>
                <w:bCs/>
                <w:sz w:val="22"/>
                <w:szCs w:val="22"/>
              </w:rPr>
              <w:t>项国家标准；取得</w:t>
            </w:r>
            <w:r>
              <w:rPr>
                <w:rFonts w:hint="eastAsia" w:eastAsia="仿宋_GB2312"/>
                <w:bCs/>
                <w:sz w:val="22"/>
                <w:szCs w:val="22"/>
                <w:lang w:val="en-US" w:eastAsia="zh-CN"/>
              </w:rPr>
              <w:t>70</w:t>
            </w:r>
            <w:r>
              <w:rPr>
                <w:rFonts w:hint="eastAsia" w:eastAsia="仿宋_GB2312"/>
                <w:bCs/>
                <w:sz w:val="22"/>
                <w:szCs w:val="22"/>
              </w:rPr>
              <w:t>余项发明专利授权，包括1</w:t>
            </w:r>
            <w:r>
              <w:rPr>
                <w:rFonts w:eastAsia="仿宋_GB2312"/>
                <w:bCs/>
                <w:sz w:val="22"/>
                <w:szCs w:val="22"/>
              </w:rPr>
              <w:t>0</w:t>
            </w:r>
            <w:r>
              <w:rPr>
                <w:rFonts w:hint="eastAsia" w:eastAsia="仿宋_GB2312"/>
                <w:bCs/>
                <w:sz w:val="22"/>
                <w:szCs w:val="22"/>
              </w:rPr>
              <w:t>余项国际专利，获国家发明专利银奖，日内瓦国际专利展金奖。项目组研制的智能监管系列服务平台，支撑了国家高分重大工程工程，在金融监管、智慧城市监管等多个领域开展了规模化应用，取得了显著的社会经济效益。</w:t>
            </w:r>
          </w:p>
        </w:tc>
      </w:tr>
    </w:tbl>
    <w:p w14:paraId="1FCED6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E5439"/>
    <w:multiLevelType w:val="singleLevel"/>
    <w:tmpl w:val="E5FE543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2B19C5"/>
    <w:rsid w:val="004F06F1"/>
    <w:rsid w:val="00D553DD"/>
    <w:rsid w:val="3FC8EBF9"/>
    <w:rsid w:val="3FFF2F6F"/>
    <w:rsid w:val="45D86189"/>
    <w:rsid w:val="4A577B64"/>
    <w:rsid w:val="DE2897C4"/>
    <w:rsid w:val="DF53A41E"/>
    <w:rsid w:val="E67E305F"/>
    <w:rsid w:val="EF9E272C"/>
    <w:rsid w:val="FF2B19C5"/>
    <w:rsid w:val="FF2B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Emphasis"/>
    <w:basedOn w:val="3"/>
    <w:qFormat/>
    <w:uiPriority w:val="0"/>
    <w:rPr>
      <w:i/>
    </w:rPr>
  </w:style>
  <w:style w:type="character" w:customStyle="1" w:styleId="5">
    <w:name w:val="title1"/>
    <w:qFormat/>
    <w:uiPriority w:val="0"/>
    <w:rPr>
      <w:b/>
      <w:bCs/>
      <w:color w:val="999900"/>
      <w:sz w:val="24"/>
      <w:szCs w:val="24"/>
    </w:rPr>
  </w:style>
  <w:style w:type="paragraph" w:customStyle="1" w:styleId="6">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1107</Words>
  <Characters>1843</Characters>
  <Lines>14</Lines>
  <Paragraphs>4</Paragraphs>
  <TotalTime>11</TotalTime>
  <ScaleCrop>false</ScaleCrop>
  <LinksUpToDate>false</LinksUpToDate>
  <CharactersWithSpaces>1961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2025-09-11T21:49:00Z</dcterms:created>
  <dc:creator>陈锦涛</dc:creator>
  <cp:lastModifiedBy>葛格</cp:lastModifiedBy>
  <dcterms:modified xsi:type="dcterms:W3CDTF">2025-09-11T07:56:06Z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73C9889DE3CC43209B27C894AC1B6BE0_13</vt:lpwstr>
  </property>
</Properties>
</file>