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C4BA">
      <w:pPr>
        <w:jc w:val="center"/>
        <w:rPr>
          <w:rStyle w:val="9"/>
          <w:rFonts w:eastAsia="方正小标宋简体"/>
          <w:bCs w:val="0"/>
          <w:color w:val="auto"/>
          <w:sz w:val="36"/>
          <w:szCs w:val="36"/>
        </w:rPr>
      </w:pPr>
      <w:r>
        <w:rPr>
          <w:rStyle w:val="9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334EDF8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3796F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73E2DEBD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6187F38A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</w:rPr>
              <w:t>靶向慢炎干预的特色植化类功能配料创制关键技术与产业化应用</w:t>
            </w:r>
          </w:p>
        </w:tc>
      </w:tr>
      <w:tr w14:paraId="60FBA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34ADBD28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83E8186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3BE2D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69" w:type="dxa"/>
            <w:vAlign w:val="center"/>
          </w:tcPr>
          <w:p w14:paraId="31D9173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705D9AD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23923AB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科学技术进步奖：提名书的主要知识产权和标准规范目录、代表性论文专著目录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见附件</w:t>
            </w:r>
            <w:r>
              <w:rPr>
                <w:rFonts w:eastAsia="仿宋_GB2312"/>
                <w:bCs/>
                <w:sz w:val="24"/>
                <w:szCs w:val="24"/>
              </w:rPr>
              <w:t>。</w:t>
            </w:r>
          </w:p>
        </w:tc>
      </w:tr>
      <w:tr w14:paraId="18134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98F64F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D215862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陆柏益</w:t>
            </w:r>
            <w:r>
              <w:rPr>
                <w:rFonts w:eastAsia="仿宋_GB2312"/>
                <w:bCs/>
                <w:sz w:val="22"/>
                <w:szCs w:val="22"/>
              </w:rPr>
              <w:t>，排名1，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教授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浙江大学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63487CB8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张良晓</w:t>
            </w:r>
            <w:r>
              <w:rPr>
                <w:rFonts w:eastAsia="仿宋_GB2312"/>
                <w:bCs/>
                <w:sz w:val="22"/>
                <w:szCs w:val="22"/>
              </w:rPr>
              <w:t>，排名2，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研究员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中国农业科学院油料作物研究所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6EE585DE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王菁</w:t>
            </w:r>
            <w:r>
              <w:rPr>
                <w:rFonts w:eastAsia="仿宋_GB2312"/>
                <w:bCs/>
                <w:sz w:val="22"/>
                <w:szCs w:val="22"/>
              </w:rPr>
              <w:t>，排名3，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珀莱雅化妆品股份有限公司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75AAB2E2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刘松柏，排名4，副教授，浙江大学；</w:t>
            </w:r>
          </w:p>
          <w:p w14:paraId="481B9F9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袁长征，排名5，研究员，浙江大学；</w:t>
            </w:r>
          </w:p>
          <w:p w14:paraId="0131E687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李培武，排名6，研究员，湘湖实验室；</w:t>
            </w:r>
          </w:p>
          <w:p w14:paraId="749A495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张英，排名7，教授，浙江大学；</w:t>
            </w:r>
          </w:p>
          <w:p w14:paraId="666E1638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孙海辉，排名8，正高级工程师，宜春大海龟生命科学股份有限公司；</w:t>
            </w:r>
          </w:p>
          <w:p w14:paraId="6A5F040C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王章铁，排名9，无，浙江大学；</w:t>
            </w:r>
          </w:p>
          <w:p w14:paraId="3FF41832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姚远，排名10，研究员，浙江大学杭州国际科创中心；</w:t>
            </w:r>
          </w:p>
          <w:p w14:paraId="06FCDC36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王桐，排名11，正高级工程师，烟台新时代健康产业有限公司；</w:t>
            </w:r>
          </w:p>
          <w:p w14:paraId="1E54DE21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郑雅丹，排名12，高级工程师，浙江衡美健康科技股份有限公司；</w:t>
            </w:r>
          </w:p>
          <w:p w14:paraId="764D8C7B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  <w:lang w:val="en-US" w:eastAsia="zh-CN"/>
              </w:rPr>
              <w:t>高亮</w:t>
            </w:r>
            <w:r>
              <w:rPr>
                <w:rFonts w:hint="eastAsia" w:eastAsia="仿宋_GB2312"/>
                <w:bCs/>
                <w:sz w:val="22"/>
                <w:szCs w:val="22"/>
              </w:rPr>
              <w:t>，排名13，总经理，浙江圣氏生物科技有限公司</w:t>
            </w:r>
          </w:p>
        </w:tc>
      </w:tr>
      <w:tr w14:paraId="6E741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37AB3286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DBE032A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1.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浙江大学</w:t>
            </w:r>
            <w:r>
              <w:rPr>
                <w:rFonts w:eastAsia="仿宋_GB2312"/>
                <w:bCs/>
                <w:sz w:val="22"/>
                <w:szCs w:val="22"/>
              </w:rPr>
              <w:t>：</w:t>
            </w:r>
          </w:p>
          <w:p w14:paraId="3D8C3CD9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2.</w:t>
            </w:r>
            <w:r>
              <w:rPr>
                <w:rFonts w:hint="eastAsia" w:eastAsia="仿宋_GB2312"/>
                <w:bCs/>
                <w:sz w:val="22"/>
                <w:szCs w:val="22"/>
              </w:rPr>
              <w:t>中国农业科学院油料作物研究所</w:t>
            </w:r>
            <w:r>
              <w:rPr>
                <w:rFonts w:eastAsia="仿宋_GB2312"/>
                <w:bCs/>
                <w:sz w:val="22"/>
                <w:szCs w:val="22"/>
              </w:rPr>
              <w:t>：</w:t>
            </w:r>
          </w:p>
          <w:p w14:paraId="48071B76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3.</w:t>
            </w:r>
            <w:r>
              <w:rPr>
                <w:rFonts w:hint="eastAsia" w:eastAsia="仿宋_GB2312"/>
                <w:bCs/>
                <w:sz w:val="22"/>
                <w:szCs w:val="22"/>
              </w:rPr>
              <w:t>湘湖实验室</w:t>
            </w:r>
            <w:r>
              <w:rPr>
                <w:rFonts w:eastAsia="仿宋_GB2312"/>
                <w:bCs/>
                <w:sz w:val="22"/>
                <w:szCs w:val="22"/>
              </w:rPr>
              <w:t>：</w:t>
            </w:r>
          </w:p>
          <w:p w14:paraId="76E3A4FC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4.浙江大学杭州国际科创中心；</w:t>
            </w:r>
          </w:p>
          <w:p w14:paraId="4CCEFE7C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5.珀莱雅化妆品股份有限公司；</w:t>
            </w:r>
          </w:p>
          <w:p w14:paraId="1EE547BD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6.宜春大海龟生命科学股份有限公司；</w:t>
            </w:r>
          </w:p>
          <w:p w14:paraId="1F6DD9F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7.浙江圣氏生物科技有限公司；</w:t>
            </w:r>
          </w:p>
          <w:p w14:paraId="19AF6A3A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8.烟台新时代健康产业有限公司；</w:t>
            </w:r>
          </w:p>
          <w:p w14:paraId="53B55469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9.浙江衡美健康科技股份有限公司</w:t>
            </w:r>
          </w:p>
        </w:tc>
      </w:tr>
      <w:tr w14:paraId="13289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75E7D7CC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A4E914A">
            <w:pPr>
              <w:contextualSpacing/>
              <w:jc w:val="center"/>
              <w:rPr>
                <w:rStyle w:val="9"/>
                <w:b w:val="0"/>
                <w:color w:val="auto"/>
              </w:rPr>
            </w:pPr>
            <w:r>
              <w:rPr>
                <w:rStyle w:val="9"/>
                <w:rFonts w:hint="eastAsia"/>
                <w:b w:val="0"/>
                <w:color w:val="auto"/>
              </w:rPr>
              <w:t>浙江大学</w:t>
            </w:r>
          </w:p>
        </w:tc>
      </w:tr>
      <w:tr w14:paraId="289CA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1762DD74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730BFD90">
            <w:pPr>
              <w:spacing w:line="360" w:lineRule="auto"/>
              <w:ind w:firstLine="488" w:firstLineChars="200"/>
              <w:rPr>
                <w:rFonts w:hint="eastAsia"/>
                <w:bCs/>
                <w:spacing w:val="2"/>
                <w:sz w:val="24"/>
              </w:rPr>
            </w:pP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该</w:t>
            </w:r>
            <w:r>
              <w:rPr>
                <w:rFonts w:hint="eastAsia"/>
                <w:bCs/>
                <w:spacing w:val="2"/>
                <w:sz w:val="24"/>
              </w:rPr>
              <w:t>成果在国家科技计划、国家自然科学基金委和浙江省科技项目支持下，深入践行“乡村振兴”、“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四个面向</w:t>
            </w:r>
            <w:r>
              <w:rPr>
                <w:rFonts w:hint="eastAsia"/>
                <w:bCs/>
                <w:spacing w:val="2"/>
                <w:sz w:val="24"/>
              </w:rPr>
              <w:t>”等国家战略，聚焦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慢炎干预理论不完善、功效机制不清、配料制备技术传统单一、装备不适用、产品功效不如预期、产生不适用新业态</w:t>
            </w:r>
            <w:r>
              <w:rPr>
                <w:rFonts w:hint="eastAsia"/>
                <w:bCs/>
                <w:spacing w:val="2"/>
                <w:sz w:val="24"/>
              </w:rPr>
              <w:t>等科学和产业问题，完善了慢炎早期营养干预理论，构建了特色植化类数据库及中国人群证据，明确了多酚、甾醇等植物化学素靶向慢炎的作用证据</w:t>
            </w:r>
            <w:r>
              <w:rPr>
                <w:rFonts w:hint="eastAsia"/>
                <w:bCs/>
                <w:spacing w:val="2"/>
                <w:sz w:val="24"/>
                <w:lang w:eastAsia="zh-CN"/>
              </w:rPr>
              <w:t>， 突破高效生物合成构建技术、生物合成细胞、化学改性和天然提取核心技术，研制了高纤维粉碎专用、固液高效分离等关键核心装备，创建了功能配料及副产物绿色产线，构建了功能配料稳态化递送体系，开发了靶向慢炎协同配伍等多元应用技术，创建了健康食品、功能化妆品等新业态模式专用型智能制造生产线</w:t>
            </w:r>
            <w:r>
              <w:rPr>
                <w:rFonts w:hint="eastAsia"/>
                <w:bCs/>
                <w:spacing w:val="2"/>
                <w:sz w:val="24"/>
              </w:rPr>
              <w:t>。成果开拓了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特色植化</w:t>
            </w:r>
            <w:r>
              <w:rPr>
                <w:rFonts w:hint="eastAsia"/>
                <w:bCs/>
                <w:spacing w:val="2"/>
                <w:sz w:val="24"/>
              </w:rPr>
              <w:t>功能配料从干预慢性低度炎症的科学证据到产业转化的产学研示范，突破了我国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特色植化</w:t>
            </w:r>
            <w:r>
              <w:rPr>
                <w:rFonts w:hint="eastAsia"/>
                <w:bCs/>
                <w:spacing w:val="2"/>
                <w:sz w:val="24"/>
              </w:rPr>
              <w:t>功能配料创制与高值化应用的关键瓶颈。成果技术已在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珀莱雅、浙江圣氏、衡美健康等</w:t>
            </w:r>
            <w:r>
              <w:rPr>
                <w:rFonts w:hint="eastAsia"/>
                <w:bCs/>
                <w:spacing w:val="2"/>
                <w:sz w:val="24"/>
              </w:rPr>
              <w:t>浙江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省内</w:t>
            </w:r>
            <w:r>
              <w:rPr>
                <w:rFonts w:hint="eastAsia"/>
                <w:bCs/>
                <w:spacing w:val="2"/>
                <w:sz w:val="24"/>
              </w:rPr>
              <w:t>多家企业推广应用</w:t>
            </w:r>
            <w:r>
              <w:rPr>
                <w:rFonts w:hint="eastAsia"/>
                <w:bCs/>
                <w:spacing w:val="2"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并辐射江西、山东等地</w:t>
            </w:r>
            <w:r>
              <w:rPr>
                <w:rFonts w:hint="eastAsia"/>
                <w:bCs/>
                <w:spacing w:val="2"/>
                <w:sz w:val="24"/>
              </w:rPr>
              <w:t>，经济、社会和生态效益显著。</w:t>
            </w:r>
          </w:p>
          <w:p w14:paraId="11C2F0D5">
            <w:pPr>
              <w:pStyle w:val="2"/>
              <w:ind w:firstLine="488" w:firstLineChars="200"/>
            </w:pPr>
            <w:r>
              <w:rPr>
                <w:bCs/>
                <w:spacing w:val="2"/>
                <w:sz w:val="24"/>
              </w:rPr>
              <w:t>提名该成果为省科学技术进步奖</w:t>
            </w:r>
            <w:r>
              <w:rPr>
                <w:rFonts w:hint="eastAsia"/>
                <w:bCs/>
                <w:spacing w:val="2"/>
                <w:sz w:val="24"/>
                <w:lang w:val="en-US" w:eastAsia="zh-CN"/>
              </w:rPr>
              <w:t>一</w:t>
            </w:r>
            <w:r>
              <w:rPr>
                <w:bCs/>
                <w:spacing w:val="2"/>
                <w:sz w:val="24"/>
              </w:rPr>
              <w:t>等奖。</w:t>
            </w:r>
          </w:p>
          <w:p w14:paraId="7D57A468">
            <w:pPr>
              <w:contextualSpacing/>
              <w:jc w:val="center"/>
              <w:rPr>
                <w:rStyle w:val="9"/>
                <w:b w:val="0"/>
                <w:color w:val="auto"/>
              </w:rPr>
            </w:pPr>
          </w:p>
        </w:tc>
      </w:tr>
    </w:tbl>
    <w:p w14:paraId="0665FF87">
      <w:r>
        <w:br w:type="page"/>
      </w:r>
    </w:p>
    <w:p w14:paraId="6E24792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82976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附表1 </w:t>
      </w:r>
      <w:r>
        <w:rPr>
          <w:b/>
          <w:bCs/>
          <w:sz w:val="24"/>
          <w:szCs w:val="24"/>
        </w:rPr>
        <w:t>主要知识产权和标准规范目录</w:t>
      </w:r>
    </w:p>
    <w:tbl>
      <w:tblPr>
        <w:tblStyle w:val="6"/>
        <w:tblW w:w="13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434"/>
        <w:gridCol w:w="954"/>
        <w:gridCol w:w="1403"/>
        <w:gridCol w:w="1337"/>
        <w:gridCol w:w="2335"/>
        <w:gridCol w:w="2414"/>
        <w:gridCol w:w="1125"/>
      </w:tblGrid>
      <w:tr w14:paraId="089F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B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知识产权（标准规范）类别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B4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知识产权（标准规范）具体名称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F36CB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国家</w:t>
            </w:r>
            <w:r>
              <w:rPr>
                <w:bCs/>
                <w:sz w:val="22"/>
                <w:szCs w:val="22"/>
              </w:rPr>
              <w:t>（地区）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18A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授权号（标准规范编号）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0973BC">
            <w:pPr>
              <w:rPr>
                <w:sz w:val="22"/>
                <w:szCs w:val="22"/>
              </w:rPr>
            </w:pPr>
          </w:p>
          <w:p w14:paraId="40776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授权（标准发布）日期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2C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权利人（标准规范起草单位）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8F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发明人（标准规范起草人）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F8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发明专利（标准规范）有效状态</w:t>
            </w:r>
          </w:p>
        </w:tc>
      </w:tr>
      <w:tr w14:paraId="3A0B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5D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行业标准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6D2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植物源性食品中游离态甾醇、结合态甾醇及总甾醇的测定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气相色谱串联质谱法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5D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32A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NY/T 3945-2021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818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2021.11.09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478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浙江大学、农业农村部农产品贮藏保险质量安全风险评估实验室（杭州）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EB8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陆柏益、王蒙蒙、胡银洲、杨博文、钟永恒、徐涛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DE8E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有效</w:t>
            </w:r>
          </w:p>
        </w:tc>
      </w:tr>
      <w:tr w14:paraId="7D51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47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4D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山核桃甾醇提取物在制备消炎物品中的应用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089A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E2304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ZL201410079250.9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2054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2015.11.18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5CAC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珀莱雅化妆品股份有限公司（浙江大学转让）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0E2E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陆柏益、周菲、杨佳佳、胡银洲、毛淑琴、蒋易蓉、洪雅雯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D6AA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有效</w:t>
            </w:r>
          </w:p>
        </w:tc>
      </w:tr>
      <w:tr w14:paraId="6DAF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4D4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B1A9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天然混合植物甾醇儿茶素、制备方法及应用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15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5A55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ZL201610917235.6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A63C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2020.05.22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ACFD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浙江大学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5806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刘松柏、吴珊珊、夏方正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B693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有效</w:t>
            </w:r>
          </w:p>
        </w:tc>
      </w:tr>
      <w:tr w14:paraId="47CE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10E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B8B3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一种从竹叶中提取竹叶黄酮的方法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8E0D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6C8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ZL201821035813.4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AADB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2019.06.07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51EB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浙江圣氏生物科技有限公司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804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高亮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胡林福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3FB5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有效</w:t>
            </w:r>
          </w:p>
        </w:tc>
      </w:tr>
      <w:tr w14:paraId="4261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C2A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C6FE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一种植物甾醇提纯方法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6901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82EFC"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ZL202010850959.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61BF4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2021.10.08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4F79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宜春大海龟生命科学股份有限公司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86F4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孙海辉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龚美青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沈明云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孙海容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黄辉其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熊兰兰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廖英俊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吴敏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张昭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彭莉莉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魏国华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欧阳正阶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易道明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张斌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谢刚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熊志华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61FC3">
            <w:pPr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有效</w:t>
            </w:r>
          </w:p>
        </w:tc>
      </w:tr>
      <w:tr w14:paraId="58FC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D8B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国家发明专利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DCD8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袪火消炎组合物及其制备方法和药用制剂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9DAE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9AC2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ZL201110369113.5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5C981"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2014.01.08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DE9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烟台新时代健康产业有限公司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ADE6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刘志河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王桐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尹利端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董从超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王立志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徐宏楠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D3280"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有效</w:t>
            </w:r>
          </w:p>
        </w:tc>
      </w:tr>
    </w:tbl>
    <w:p w14:paraId="2B36A1EF">
      <w:pPr>
        <w:rPr>
          <w:rFonts w:hint="eastAsia"/>
        </w:rPr>
      </w:pPr>
      <w:r>
        <w:t xml:space="preserve"> </w:t>
      </w:r>
    </w:p>
    <w:p w14:paraId="390FB273">
      <w:pPr>
        <w:sectPr>
          <w:pgSz w:w="15842" w:h="12242" w:orient="landscape"/>
          <w:pgMar w:top="1418" w:right="1247" w:bottom="1134" w:left="1247" w:header="851" w:footer="794" w:gutter="0"/>
          <w:cols w:space="720" w:num="1"/>
        </w:sectPr>
      </w:pPr>
    </w:p>
    <w:p w14:paraId="14FA0BA4">
      <w:pPr>
        <w:spacing w:line="360" w:lineRule="auto"/>
        <w:jc w:val="center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附表2 </w:t>
      </w:r>
      <w:r>
        <w:rPr>
          <w:b/>
          <w:bCs/>
          <w:sz w:val="24"/>
          <w:szCs w:val="22"/>
        </w:rPr>
        <w:t>代表性论文专著目录</w:t>
      </w:r>
    </w:p>
    <w:tbl>
      <w:tblPr>
        <w:tblStyle w:val="6"/>
        <w:tblW w:w="135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5018"/>
        <w:gridCol w:w="1978"/>
        <w:gridCol w:w="1862"/>
      </w:tblGrid>
      <w:tr w14:paraId="486BE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7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9D5D48">
            <w:pPr>
              <w:jc w:val="center"/>
              <w:rPr>
                <w:sz w:val="24"/>
                <w:szCs w:val="22"/>
              </w:rPr>
            </w:pPr>
            <w:bookmarkStart w:id="0" w:name="OLE_LINK2"/>
            <w:r>
              <w:rPr>
                <w:sz w:val="24"/>
                <w:szCs w:val="22"/>
              </w:rPr>
              <w:t>作 者</w:t>
            </w:r>
          </w:p>
        </w:tc>
        <w:tc>
          <w:tcPr>
            <w:tcW w:w="50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1070A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论文专著名称/刊物</w:t>
            </w:r>
          </w:p>
        </w:tc>
        <w:tc>
          <w:tcPr>
            <w:tcW w:w="197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A8B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卷</w:t>
            </w:r>
            <w:r>
              <w:rPr>
                <w:rFonts w:hint="eastAsia"/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页码</w:t>
            </w:r>
          </w:p>
        </w:tc>
        <w:tc>
          <w:tcPr>
            <w:tcW w:w="186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EF7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发表时间（年、月）</w:t>
            </w:r>
          </w:p>
        </w:tc>
      </w:tr>
      <w:tr w14:paraId="6C931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B92E5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Hui Chen, Jie Shen, Jiaqi Xuan, Anna Zhu, John S. Ji, Xiaoran Liu, Yaying Cao, Geng, Zong, Yi Zeng, Xiaoxi Wang, Changzheng Yuan</w:t>
            </w:r>
          </w:p>
        </w:tc>
        <w:tc>
          <w:tcPr>
            <w:tcW w:w="5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EF127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Plant-based dietary patterns in relation to mortality among older adults in China </w:t>
            </w:r>
            <w:r>
              <w:rPr>
                <w:rFonts w:hint="eastAsia"/>
                <w:sz w:val="24"/>
                <w:szCs w:val="22"/>
              </w:rPr>
              <w:t>/ Nature Aging</w:t>
            </w:r>
          </w:p>
        </w:tc>
        <w:tc>
          <w:tcPr>
            <w:tcW w:w="1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A52CB4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2023, 2, 224-230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B0A4B6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2023.02</w:t>
            </w:r>
          </w:p>
        </w:tc>
      </w:tr>
      <w:tr w14:paraId="37BBE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4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C94A5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Qinjun Zhang, Liangxiao Zhang, Cheng Chen, Peiwu Li, Baiyi Lu</w:t>
            </w:r>
          </w:p>
        </w:tc>
        <w:tc>
          <w:tcPr>
            <w:tcW w:w="5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5F5D2E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sz w:val="24"/>
                <w:szCs w:val="22"/>
              </w:rPr>
              <w:t>The gut microbiota-artery axis: A bridge between dietary lipids and atherosclerosis?</w:t>
            </w:r>
            <w:r>
              <w:rPr>
                <w:rFonts w:hint="eastAsia"/>
                <w:sz w:val="24"/>
                <w:szCs w:val="22"/>
              </w:rPr>
              <w:t xml:space="preserve"> / Progress in Lipid Research</w:t>
            </w:r>
          </w:p>
        </w:tc>
        <w:tc>
          <w:tcPr>
            <w:tcW w:w="1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865C0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2022, 89, 101209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84E90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2023.01</w:t>
            </w:r>
          </w:p>
        </w:tc>
      </w:tr>
      <w:tr w14:paraId="4F1B8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009463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Ruinan Yang, Liangxiao Zhang, Peiwu Li, Li Yu, Jin Mao, Xiupin Wang, Qi Zhang</w:t>
            </w:r>
          </w:p>
        </w:tc>
        <w:tc>
          <w:tcPr>
            <w:tcW w:w="5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E4961F8">
            <w:pPr>
              <w:jc w:val="center"/>
              <w:rPr>
                <w:rFonts w:hint="eastAsia"/>
                <w:sz w:val="24"/>
                <w:szCs w:val="22"/>
              </w:rPr>
            </w:pPr>
            <w:bookmarkStart w:id="1" w:name="OLE_LINK1"/>
            <w:r>
              <w:rPr>
                <w:sz w:val="24"/>
                <w:szCs w:val="22"/>
              </w:rPr>
              <w:t>A review of chemical composition and nutritional properties of minor vegetable oils in China</w:t>
            </w:r>
            <w:bookmarkEnd w:id="1"/>
            <w:r>
              <w:rPr>
                <w:rFonts w:hint="eastAsia"/>
                <w:sz w:val="24"/>
                <w:szCs w:val="22"/>
              </w:rPr>
              <w:t xml:space="preserve"> / </w:t>
            </w:r>
            <w:r>
              <w:rPr>
                <w:sz w:val="24"/>
                <w:szCs w:val="22"/>
              </w:rPr>
              <w:t>Trends in Food Science &amp; Technology</w:t>
            </w:r>
          </w:p>
        </w:tc>
        <w:tc>
          <w:tcPr>
            <w:tcW w:w="1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405649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2018, 74, 26-32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F3B1DA4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2018.12</w:t>
            </w:r>
          </w:p>
        </w:tc>
      </w:tr>
      <w:tr w14:paraId="2751D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7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05451"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Zhenlei Zhao, Fan Xue, Yanpei Gu, Jianxin Han, Yingxian Jia, Keqiang Ye, Ying Zhang</w:t>
            </w:r>
          </w:p>
        </w:tc>
        <w:tc>
          <w:tcPr>
            <w:tcW w:w="5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7F761B"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</w:rPr>
              <w:t>Crosstalk between the muscular estrogen receptor a and BDNF/TrkB signaling alleviates metabolic syndrome via 7,8-dihydroxyflavone in female mice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/ Molecular Metabolsim</w:t>
            </w:r>
          </w:p>
        </w:tc>
        <w:tc>
          <w:tcPr>
            <w:tcW w:w="1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E292A6"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2021, 45, 101149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209D8E"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2021.04</w:t>
            </w:r>
          </w:p>
        </w:tc>
      </w:tr>
      <w:bookmarkEnd w:id="0"/>
    </w:tbl>
    <w:p w14:paraId="5695B1B2">
      <w:r>
        <w:t xml:space="preserve">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18"/>
    <w:rsid w:val="000541F3"/>
    <w:rsid w:val="0005426E"/>
    <w:rsid w:val="003259F7"/>
    <w:rsid w:val="004D2D1C"/>
    <w:rsid w:val="00625340"/>
    <w:rsid w:val="006C598A"/>
    <w:rsid w:val="00AC21FD"/>
    <w:rsid w:val="00BC156D"/>
    <w:rsid w:val="00BF1108"/>
    <w:rsid w:val="00FB5618"/>
    <w:rsid w:val="0C220FDC"/>
    <w:rsid w:val="11D6116E"/>
    <w:rsid w:val="122B630F"/>
    <w:rsid w:val="15E213DA"/>
    <w:rsid w:val="294F4B81"/>
    <w:rsid w:val="358B200B"/>
    <w:rsid w:val="3AA51478"/>
    <w:rsid w:val="3AAA60BB"/>
    <w:rsid w:val="3CF947C0"/>
    <w:rsid w:val="54F17472"/>
    <w:rsid w:val="646031C3"/>
    <w:rsid w:val="6F6935DD"/>
    <w:rsid w:val="74E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1721</Words>
  <Characters>2536</Characters>
  <Lines>96</Lines>
  <Paragraphs>155</Paragraphs>
  <TotalTime>1</TotalTime>
  <ScaleCrop>false</ScaleCrop>
  <LinksUpToDate>false</LinksUpToDate>
  <CharactersWithSpaces>2677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2025-09-10T06:51:00Z</dcterms:created>
  <dc:creator>wangz</dc:creator>
  <cp:lastModifiedBy>王章铁</cp:lastModifiedBy>
  <dcterms:modified xsi:type="dcterms:W3CDTF">2025-09-11T11:36:20Z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eyJoZGlkIjoiNWNhZDk0NDYyZDNjNmVkNjdiYzAyZjgwMWVlOGNjZmYiLCJ1c2VySWQiOiIxNjg4NzI5NjUwIn0=</vt:lpwstr>
  </property>
  <property fmtid="{D5CDD505-2E9C-101B-9397-08002B2CF9AE}" pid="4" name="ICV">
    <vt:lpwstr>250299AA3A004ACD888254EFFA08374D_12</vt:lpwstr>
  </property>
</Properties>
</file>