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D9A0E">
      <w:pPr>
        <w:jc w:val="center"/>
        <w:rPr>
          <w:rStyle w:val="36"/>
          <w:rFonts w:eastAsia="方正小标宋简体"/>
          <w:bCs w:val="0"/>
          <w:color w:val="auto"/>
          <w:sz w:val="36"/>
          <w:szCs w:val="36"/>
        </w:rPr>
      </w:pPr>
      <w:bookmarkStart w:id="0" w:name="_GoBack"/>
      <w:bookmarkEnd w:id="0"/>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FCBBE69">
      <w:pPr>
        <w:spacing w:line="440" w:lineRule="exact"/>
        <w:rPr>
          <w:rFonts w:eastAsia="仿宋_GB2312"/>
          <w:sz w:val="28"/>
          <w:szCs w:val="24"/>
        </w:rPr>
      </w:pPr>
      <w:r>
        <w:rPr>
          <w:rFonts w:eastAsia="仿宋_GB2312"/>
          <w:sz w:val="28"/>
          <w:szCs w:val="24"/>
        </w:rPr>
        <w:t>提名奖项：自然科学奖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C1F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654AC3F">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1960A828">
            <w:pPr>
              <w:jc w:val="center"/>
              <w:rPr>
                <w:rStyle w:val="36"/>
                <w:rFonts w:eastAsia="仿宋_GB2312"/>
                <w:b w:val="0"/>
                <w:color w:val="auto"/>
                <w:sz w:val="28"/>
              </w:rPr>
            </w:pPr>
            <w:r>
              <w:rPr>
                <w:rStyle w:val="36"/>
                <w:rFonts w:hint="eastAsia" w:eastAsia="仿宋_GB2312"/>
                <w:b w:val="0"/>
                <w:color w:val="auto"/>
                <w:szCs w:val="22"/>
              </w:rPr>
              <w:t>含多功能位点的微孔晶体材料创制及量子剪裁增敏机制</w:t>
            </w:r>
          </w:p>
        </w:tc>
      </w:tr>
      <w:tr w14:paraId="5C34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C152385">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32009A81">
            <w:pPr>
              <w:jc w:val="center"/>
              <w:rPr>
                <w:rStyle w:val="36"/>
                <w:rFonts w:eastAsia="仿宋_GB2312"/>
                <w:b w:val="0"/>
                <w:color w:val="auto"/>
                <w:sz w:val="28"/>
              </w:rPr>
            </w:pPr>
            <w:r>
              <w:rPr>
                <w:rStyle w:val="36"/>
                <w:rFonts w:hint="eastAsia" w:eastAsia="仿宋_GB2312"/>
                <w:b w:val="0"/>
                <w:color w:val="auto"/>
                <w:szCs w:val="22"/>
              </w:rPr>
              <w:t>一等</w:t>
            </w:r>
          </w:p>
        </w:tc>
      </w:tr>
      <w:tr w14:paraId="1C91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9" w:hRule="atLeast"/>
        </w:trPr>
        <w:tc>
          <w:tcPr>
            <w:tcW w:w="2269" w:type="dxa"/>
            <w:vAlign w:val="center"/>
          </w:tcPr>
          <w:p w14:paraId="5755E55F">
            <w:pPr>
              <w:spacing w:line="440" w:lineRule="exact"/>
              <w:jc w:val="center"/>
              <w:rPr>
                <w:rFonts w:eastAsia="仿宋_GB2312"/>
                <w:bCs/>
                <w:sz w:val="28"/>
                <w:szCs w:val="24"/>
              </w:rPr>
            </w:pPr>
            <w:r>
              <w:rPr>
                <w:rFonts w:eastAsia="仿宋_GB2312"/>
                <w:bCs/>
                <w:sz w:val="28"/>
                <w:szCs w:val="24"/>
              </w:rPr>
              <w:t>提名书</w:t>
            </w:r>
          </w:p>
          <w:p w14:paraId="154D5165">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0C0C3B85">
            <w:pPr>
              <w:spacing w:line="360" w:lineRule="exact"/>
              <w:jc w:val="left"/>
              <w:rPr>
                <w:rFonts w:eastAsia="仿宋_GB2312"/>
                <w:bCs/>
                <w:sz w:val="22"/>
                <w:szCs w:val="22"/>
              </w:rPr>
            </w:pPr>
            <w:r>
              <w:rPr>
                <w:rFonts w:hint="eastAsia" w:eastAsia="仿宋_GB2312"/>
                <w:bCs/>
                <w:sz w:val="22"/>
                <w:szCs w:val="22"/>
              </w:rPr>
              <w:t>8篇代表性论文如下：</w:t>
            </w:r>
          </w:p>
          <w:p w14:paraId="732513D0">
            <w:pPr>
              <w:pStyle w:val="32"/>
              <w:numPr>
                <w:ilvl w:val="0"/>
                <w:numId w:val="1"/>
              </w:numPr>
              <w:spacing w:line="360" w:lineRule="exact"/>
              <w:ind w:firstLineChars="0"/>
              <w:rPr>
                <w:rFonts w:ascii="Times New Roman"/>
                <w:bCs/>
                <w:sz w:val="22"/>
                <w:szCs w:val="22"/>
              </w:rPr>
            </w:pPr>
            <w:r>
              <w:rPr>
                <w:rFonts w:ascii="Times New Roman"/>
                <w:bCs/>
                <w:sz w:val="22"/>
                <w:szCs w:val="22"/>
              </w:rPr>
              <w:t>Xingtang Rao, Tao Song, Junkuo Gao, Yuanjing Cui, Yu Yang, Chuande Wu, Banglin Chen* and Guodong Qian*, A Highly Sensitive Mixed Lanthanide Metal-Organic Framework Self-Calibrated Luminescent Thermometer, J. Am. Chem. Soc., 135(41) (2013) 15559-15564</w:t>
            </w:r>
          </w:p>
          <w:p w14:paraId="70760DBE">
            <w:pPr>
              <w:pStyle w:val="32"/>
              <w:numPr>
                <w:ilvl w:val="0"/>
                <w:numId w:val="1"/>
              </w:numPr>
              <w:spacing w:line="360" w:lineRule="exact"/>
              <w:ind w:firstLineChars="0"/>
              <w:rPr>
                <w:rFonts w:ascii="Times New Roman"/>
                <w:bCs/>
                <w:sz w:val="22"/>
                <w:szCs w:val="22"/>
              </w:rPr>
            </w:pPr>
            <w:r>
              <w:rPr>
                <w:rFonts w:ascii="Times New Roman"/>
                <w:bCs/>
                <w:sz w:val="22"/>
                <w:szCs w:val="22"/>
              </w:rPr>
              <w:t>Hui Xu, Junkuo Gao, Xuefeng Qian, Jiangpeng Wang, Huajun He, Yuanjing Cui*, Yu Yang, Zhiyu Wang and Guodong Qian*</w:t>
            </w:r>
            <w:r>
              <w:rPr>
                <w:rFonts w:hint="eastAsia" w:ascii="Times New Roman"/>
                <w:bCs/>
                <w:sz w:val="22"/>
                <w:szCs w:val="22"/>
              </w:rPr>
              <w:t>,</w:t>
            </w:r>
            <w:r>
              <w:rPr>
                <w:rFonts w:ascii="Times New Roman"/>
                <w:bCs/>
                <w:sz w:val="22"/>
                <w:szCs w:val="22"/>
              </w:rPr>
              <w:t xml:space="preserve"> Metal–organic framework nanosheets for fast-response and highly sensitive luminescent sensing of Fe</w:t>
            </w:r>
            <w:r>
              <w:rPr>
                <w:rFonts w:ascii="Times New Roman"/>
                <w:bCs/>
                <w:sz w:val="22"/>
                <w:szCs w:val="22"/>
                <w:vertAlign w:val="superscript"/>
              </w:rPr>
              <w:t>3+</w:t>
            </w:r>
            <w:r>
              <w:rPr>
                <w:rFonts w:ascii="Times New Roman"/>
                <w:bCs/>
                <w:sz w:val="22"/>
                <w:szCs w:val="22"/>
              </w:rPr>
              <w:t>, J. Mater. Chem. A, 4(28) (2016) 10900-10905</w:t>
            </w:r>
          </w:p>
          <w:p w14:paraId="7BFA2F13">
            <w:pPr>
              <w:pStyle w:val="32"/>
              <w:numPr>
                <w:ilvl w:val="0"/>
                <w:numId w:val="1"/>
              </w:numPr>
              <w:spacing w:line="360" w:lineRule="exact"/>
              <w:ind w:firstLineChars="0"/>
              <w:rPr>
                <w:rFonts w:ascii="Times New Roman"/>
                <w:bCs/>
                <w:sz w:val="22"/>
                <w:szCs w:val="22"/>
              </w:rPr>
            </w:pPr>
            <w:r>
              <w:rPr>
                <w:rFonts w:ascii="Times New Roman"/>
                <w:bCs/>
                <w:sz w:val="22"/>
                <w:szCs w:val="22"/>
              </w:rPr>
              <w:t>Yuanjing Cui, Fengliang Zhu, Banglin Chen* and Guodong Qian*, Metal-Organic Frameworks for Luminescence Thermometry, Chem. Commun., 51(35) (2015) 7420-7431</w:t>
            </w:r>
          </w:p>
          <w:p w14:paraId="47ECF240">
            <w:pPr>
              <w:pStyle w:val="32"/>
              <w:numPr>
                <w:ilvl w:val="0"/>
                <w:numId w:val="1"/>
              </w:numPr>
              <w:spacing w:line="360" w:lineRule="exact"/>
              <w:ind w:firstLineChars="0"/>
              <w:rPr>
                <w:rFonts w:ascii="Times New Roman"/>
                <w:bCs/>
                <w:sz w:val="22"/>
                <w:szCs w:val="22"/>
              </w:rPr>
            </w:pPr>
            <w:r>
              <w:rPr>
                <w:rFonts w:ascii="Times New Roman"/>
                <w:bCs/>
                <w:sz w:val="22"/>
                <w:szCs w:val="22"/>
              </w:rPr>
              <w:t>Zhongshang Dou, Jiancan Yu, Yuanjing Cui*, Yu Yang, Zhiyu Wang, Deren Yang and Guodong Qian*, Luminescent Metal-Organic Framework Films as Highly Sensitive and Fast-Response Oxygen Sensors, J. Am. Chem. Soc., 136(15) (2014) 5527-5530</w:t>
            </w:r>
          </w:p>
          <w:p w14:paraId="68164EF3">
            <w:pPr>
              <w:pStyle w:val="32"/>
              <w:numPr>
                <w:ilvl w:val="0"/>
                <w:numId w:val="1"/>
              </w:numPr>
              <w:spacing w:line="360" w:lineRule="exact"/>
              <w:ind w:firstLineChars="0"/>
              <w:rPr>
                <w:rFonts w:ascii="Times New Roman"/>
                <w:bCs/>
                <w:sz w:val="22"/>
                <w:szCs w:val="22"/>
              </w:rPr>
            </w:pPr>
            <w:r>
              <w:rPr>
                <w:rFonts w:ascii="Times New Roman"/>
                <w:bCs/>
                <w:sz w:val="22"/>
                <w:szCs w:val="22"/>
              </w:rPr>
              <w:t>Yuanjing Cui,* Wenfeng Zou, Ruijing Song, Jiancan Yu, Wenqian Zhang, Yu Yang, Guodong Qian*, A ratiometric and colorimetric luminescent thermometer over a wide temperature range based on lanthanide coordination polymer, Chem. Commun., 50(6) (2014) 719-721</w:t>
            </w:r>
          </w:p>
          <w:p w14:paraId="3ADFA7FB">
            <w:pPr>
              <w:pStyle w:val="32"/>
              <w:numPr>
                <w:ilvl w:val="0"/>
                <w:numId w:val="1"/>
              </w:numPr>
              <w:spacing w:line="360" w:lineRule="exact"/>
              <w:ind w:firstLineChars="0"/>
              <w:rPr>
                <w:rFonts w:ascii="Times New Roman"/>
                <w:bCs/>
                <w:sz w:val="22"/>
                <w:szCs w:val="22"/>
              </w:rPr>
            </w:pPr>
            <w:r>
              <w:rPr>
                <w:rFonts w:ascii="Times New Roman"/>
                <w:bCs/>
                <w:sz w:val="22"/>
                <w:szCs w:val="22"/>
              </w:rPr>
              <w:t>Xin Zhang, Quan Hu, Tifeng Xia, Jun Zhang, Yu Yang*, Yuanjing Cui*, Banglin Chen and Guodong Qian*, Turn-on and Ratiometric Luminescent Sensing of Hydrogen Sulfide based on Metal-Organic Frameworks, ACS Appl. Mat. Interfaces, 8(47) (2016) 32259-32265</w:t>
            </w:r>
          </w:p>
          <w:p w14:paraId="313C0AA5">
            <w:pPr>
              <w:pStyle w:val="32"/>
              <w:numPr>
                <w:ilvl w:val="0"/>
                <w:numId w:val="1"/>
              </w:numPr>
              <w:spacing w:line="360" w:lineRule="exact"/>
              <w:ind w:firstLineChars="0"/>
              <w:rPr>
                <w:rFonts w:ascii="Times New Roman"/>
                <w:bCs/>
                <w:sz w:val="22"/>
                <w:szCs w:val="22"/>
              </w:rPr>
            </w:pPr>
            <w:r>
              <w:rPr>
                <w:rFonts w:ascii="Times New Roman"/>
                <w:bCs/>
                <w:sz w:val="22"/>
                <w:szCs w:val="22"/>
              </w:rPr>
              <w:t>Dian Zhao, Xingtang Rao, Jianchan Yu, Yuanjing Cui*, Yu Yang and Guodong Qian*, Design and Syntheses of a MOF Thermometer with High-Sensitivity in the Physiological Temperature Range, Inorg. Chem., 54(23) (2015) 11193-11199</w:t>
            </w:r>
          </w:p>
          <w:p w14:paraId="68B715EB">
            <w:pPr>
              <w:pStyle w:val="32"/>
              <w:numPr>
                <w:ilvl w:val="0"/>
                <w:numId w:val="1"/>
              </w:numPr>
              <w:spacing w:line="360" w:lineRule="exact"/>
              <w:ind w:firstLineChars="0"/>
              <w:rPr>
                <w:rFonts w:ascii="Times New Roman"/>
                <w:bCs/>
                <w:sz w:val="22"/>
                <w:szCs w:val="22"/>
              </w:rPr>
            </w:pPr>
            <w:r>
              <w:rPr>
                <w:rFonts w:ascii="Times New Roman"/>
                <w:bCs/>
                <w:sz w:val="22"/>
                <w:szCs w:val="22"/>
              </w:rPr>
              <w:t>Yuanjing Cui, Banglin Chen* and Guodong Qian*, Lanthanide metal-organic frameworks for luminescent sensing and light-emitting applications, Coordin. Chem. Rev., 273-274 (2014) 76-86</w:t>
            </w:r>
          </w:p>
          <w:p w14:paraId="5E2BEC5F">
            <w:pPr>
              <w:spacing w:line="360" w:lineRule="exact"/>
              <w:rPr>
                <w:bCs/>
                <w:sz w:val="22"/>
                <w:szCs w:val="22"/>
              </w:rPr>
            </w:pPr>
            <w:r>
              <w:rPr>
                <w:rFonts w:hint="eastAsia"/>
                <w:bCs/>
                <w:sz w:val="22"/>
                <w:szCs w:val="22"/>
              </w:rPr>
              <w:t>授</w:t>
            </w:r>
            <w:r>
              <w:rPr>
                <w:bCs/>
                <w:sz w:val="22"/>
                <w:szCs w:val="22"/>
              </w:rPr>
              <w:t>权专利：</w:t>
            </w:r>
          </w:p>
          <w:p w14:paraId="3FBB008A">
            <w:pPr>
              <w:pStyle w:val="32"/>
              <w:numPr>
                <w:ilvl w:val="0"/>
                <w:numId w:val="2"/>
              </w:numPr>
              <w:spacing w:line="360" w:lineRule="exact"/>
              <w:ind w:firstLineChars="0"/>
              <w:rPr>
                <w:rFonts w:ascii="Times New Roman"/>
                <w:bCs/>
                <w:sz w:val="22"/>
                <w:szCs w:val="22"/>
              </w:rPr>
            </w:pPr>
            <w:r>
              <w:rPr>
                <w:rFonts w:hint="eastAsia"/>
                <w:bCs/>
                <w:sz w:val="22"/>
                <w:szCs w:val="22"/>
              </w:rPr>
              <w:t>杨</w:t>
            </w:r>
            <w:r>
              <w:rPr>
                <w:rFonts w:ascii="Times New Roman"/>
                <w:bCs/>
                <w:sz w:val="22"/>
                <w:szCs w:val="22"/>
              </w:rPr>
              <w:t>雨，张新，李斌，崔元靖，钱国栋，一种硫化氢传感用金属-有机框架基混合基质膜及其制备方法，授权时间：2020.10.16，专利号：ZL201810240145.7。</w:t>
            </w:r>
          </w:p>
          <w:p w14:paraId="041088F3">
            <w:pPr>
              <w:pStyle w:val="32"/>
              <w:numPr>
                <w:ilvl w:val="0"/>
                <w:numId w:val="2"/>
              </w:numPr>
              <w:spacing w:line="360" w:lineRule="exact"/>
              <w:ind w:firstLineChars="0"/>
              <w:rPr>
                <w:rFonts w:ascii="Times New Roman"/>
                <w:bCs/>
                <w:sz w:val="22"/>
                <w:szCs w:val="22"/>
              </w:rPr>
            </w:pPr>
            <w:r>
              <w:rPr>
                <w:rFonts w:ascii="Times New Roman"/>
                <w:bCs/>
                <w:sz w:val="22"/>
                <w:szCs w:val="22"/>
              </w:rPr>
              <w:t>崔元靖，张舒云，钱国栋，杨雨，一种用于水体中重金属离子便携式荧光检测的薄膜及其制备方法，授权时间：2022.5.10，专利号：ZL202110437172.5。</w:t>
            </w:r>
          </w:p>
          <w:p w14:paraId="618DEB87">
            <w:pPr>
              <w:pStyle w:val="32"/>
              <w:numPr>
                <w:ilvl w:val="0"/>
                <w:numId w:val="2"/>
              </w:numPr>
              <w:spacing w:line="360" w:lineRule="exact"/>
              <w:ind w:firstLineChars="0"/>
              <w:rPr>
                <w:rFonts w:hint="eastAsia"/>
                <w:bCs/>
                <w:sz w:val="22"/>
                <w:szCs w:val="22"/>
              </w:rPr>
            </w:pPr>
            <w:r>
              <w:rPr>
                <w:rFonts w:ascii="Times New Roman"/>
                <w:bCs/>
                <w:sz w:val="22"/>
                <w:szCs w:val="22"/>
              </w:rPr>
              <w:t>杨雨，王迪，张骏，钱国栋，崔元靖，变压器油中待测离子浓度的荧光检测方法，授权时间：2021.7.16，专利号：ZL202010265364.8。</w:t>
            </w:r>
          </w:p>
        </w:tc>
      </w:tr>
      <w:tr w14:paraId="2C609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150020CA">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40F6B4BB">
            <w:pPr>
              <w:spacing w:line="440" w:lineRule="exact"/>
              <w:rPr>
                <w:rFonts w:eastAsia="仿宋_GB2312"/>
                <w:bCs/>
                <w:sz w:val="24"/>
                <w:szCs w:val="22"/>
              </w:rPr>
            </w:pPr>
            <w:r>
              <w:rPr>
                <w:rFonts w:hint="eastAsia" w:eastAsia="仿宋_GB2312"/>
                <w:bCs/>
                <w:sz w:val="24"/>
                <w:szCs w:val="22"/>
              </w:rPr>
              <w:t>钱国栋</w:t>
            </w:r>
            <w:r>
              <w:rPr>
                <w:rFonts w:eastAsia="仿宋_GB2312"/>
                <w:bCs/>
                <w:sz w:val="24"/>
                <w:szCs w:val="22"/>
              </w:rPr>
              <w:t>，排名1，</w:t>
            </w:r>
            <w:r>
              <w:rPr>
                <w:rFonts w:hint="eastAsia" w:eastAsia="仿宋_GB2312"/>
                <w:bCs/>
                <w:sz w:val="24"/>
                <w:szCs w:val="22"/>
              </w:rPr>
              <w:t>教授</w:t>
            </w:r>
            <w:r>
              <w:rPr>
                <w:rFonts w:eastAsia="仿宋_GB2312"/>
                <w:bCs/>
                <w:sz w:val="24"/>
                <w:szCs w:val="22"/>
              </w:rPr>
              <w:t>，</w:t>
            </w:r>
            <w:r>
              <w:rPr>
                <w:rFonts w:hint="eastAsia" w:eastAsia="仿宋_GB2312"/>
                <w:bCs/>
                <w:sz w:val="24"/>
                <w:szCs w:val="22"/>
              </w:rPr>
              <w:t>浙江大学</w:t>
            </w:r>
          </w:p>
          <w:p w14:paraId="5380517C">
            <w:pPr>
              <w:spacing w:line="440" w:lineRule="exact"/>
              <w:rPr>
                <w:rFonts w:eastAsia="仿宋_GB2312"/>
                <w:bCs/>
                <w:sz w:val="24"/>
                <w:szCs w:val="22"/>
              </w:rPr>
            </w:pPr>
            <w:r>
              <w:rPr>
                <w:rFonts w:hint="eastAsia" w:eastAsia="仿宋_GB2312"/>
                <w:bCs/>
                <w:sz w:val="24"/>
                <w:szCs w:val="22"/>
              </w:rPr>
              <w:t>崔元靖</w:t>
            </w:r>
            <w:r>
              <w:rPr>
                <w:rFonts w:eastAsia="仿宋_GB2312"/>
                <w:bCs/>
                <w:sz w:val="24"/>
                <w:szCs w:val="22"/>
              </w:rPr>
              <w:t>，排名2</w:t>
            </w:r>
            <w:r>
              <w:rPr>
                <w:rFonts w:hint="eastAsia" w:eastAsia="仿宋_GB2312"/>
                <w:bCs/>
                <w:sz w:val="24"/>
                <w:szCs w:val="22"/>
              </w:rPr>
              <w:t>，教授，浙江大学</w:t>
            </w:r>
          </w:p>
          <w:p w14:paraId="7CC2DCEE">
            <w:pPr>
              <w:spacing w:line="440" w:lineRule="exact"/>
              <w:rPr>
                <w:rFonts w:eastAsia="仿宋_GB2312"/>
                <w:bCs/>
                <w:sz w:val="24"/>
                <w:szCs w:val="22"/>
              </w:rPr>
            </w:pPr>
            <w:r>
              <w:rPr>
                <w:rFonts w:hint="eastAsia" w:eastAsia="仿宋_GB2312"/>
                <w:bCs/>
                <w:sz w:val="24"/>
                <w:szCs w:val="22"/>
              </w:rPr>
              <w:t>郁建灿</w:t>
            </w:r>
            <w:r>
              <w:rPr>
                <w:rFonts w:eastAsia="仿宋_GB2312"/>
                <w:bCs/>
                <w:sz w:val="24"/>
                <w:szCs w:val="22"/>
              </w:rPr>
              <w:t>，排名3，</w:t>
            </w:r>
            <w:r>
              <w:rPr>
                <w:rFonts w:hint="eastAsia" w:eastAsia="仿宋_GB2312"/>
                <w:bCs/>
                <w:sz w:val="24"/>
                <w:szCs w:val="22"/>
              </w:rPr>
              <w:t>副教授</w:t>
            </w:r>
            <w:r>
              <w:rPr>
                <w:rFonts w:eastAsia="仿宋_GB2312"/>
                <w:bCs/>
                <w:sz w:val="24"/>
                <w:szCs w:val="22"/>
              </w:rPr>
              <w:t>，</w:t>
            </w:r>
            <w:r>
              <w:rPr>
                <w:rFonts w:hint="eastAsia" w:eastAsia="仿宋_GB2312"/>
                <w:bCs/>
                <w:sz w:val="24"/>
                <w:szCs w:val="22"/>
              </w:rPr>
              <w:t>中山大学</w:t>
            </w:r>
          </w:p>
          <w:p w14:paraId="4EB77EB1">
            <w:pPr>
              <w:spacing w:line="440" w:lineRule="exact"/>
              <w:rPr>
                <w:rFonts w:eastAsia="仿宋_GB2312"/>
                <w:bCs/>
                <w:sz w:val="24"/>
                <w:szCs w:val="22"/>
              </w:rPr>
            </w:pPr>
            <w:r>
              <w:rPr>
                <w:rFonts w:hint="eastAsia" w:eastAsia="仿宋_GB2312"/>
                <w:bCs/>
                <w:sz w:val="24"/>
                <w:szCs w:val="22"/>
              </w:rPr>
              <w:t>王智宇，</w:t>
            </w:r>
            <w:r>
              <w:rPr>
                <w:rFonts w:eastAsia="仿宋_GB2312"/>
                <w:bCs/>
                <w:sz w:val="24"/>
                <w:szCs w:val="22"/>
              </w:rPr>
              <w:t>排名4，</w:t>
            </w:r>
            <w:r>
              <w:rPr>
                <w:rFonts w:hint="eastAsia" w:eastAsia="仿宋_GB2312"/>
                <w:bCs/>
                <w:sz w:val="24"/>
                <w:szCs w:val="22"/>
              </w:rPr>
              <w:t>教授</w:t>
            </w:r>
            <w:r>
              <w:rPr>
                <w:rFonts w:eastAsia="仿宋_GB2312"/>
                <w:bCs/>
                <w:sz w:val="24"/>
                <w:szCs w:val="22"/>
              </w:rPr>
              <w:t>，</w:t>
            </w:r>
            <w:r>
              <w:rPr>
                <w:rFonts w:hint="eastAsia" w:eastAsia="仿宋_GB2312"/>
                <w:bCs/>
                <w:sz w:val="24"/>
                <w:szCs w:val="22"/>
              </w:rPr>
              <w:t>浙江大学</w:t>
            </w:r>
          </w:p>
          <w:p w14:paraId="5AA2A353">
            <w:pPr>
              <w:spacing w:line="440" w:lineRule="exact"/>
              <w:rPr>
                <w:rFonts w:eastAsia="仿宋_GB2312"/>
                <w:bCs/>
                <w:sz w:val="24"/>
                <w:szCs w:val="22"/>
              </w:rPr>
            </w:pPr>
            <w:r>
              <w:rPr>
                <w:rFonts w:hint="eastAsia" w:eastAsia="仿宋_GB2312"/>
                <w:bCs/>
                <w:sz w:val="24"/>
                <w:szCs w:val="22"/>
              </w:rPr>
              <w:t>张新，</w:t>
            </w:r>
            <w:r>
              <w:rPr>
                <w:rFonts w:eastAsia="仿宋_GB2312"/>
                <w:bCs/>
                <w:sz w:val="24"/>
                <w:szCs w:val="22"/>
              </w:rPr>
              <w:t>排名5，</w:t>
            </w:r>
            <w:r>
              <w:rPr>
                <w:rFonts w:hint="eastAsia" w:eastAsia="仿宋_GB2312"/>
                <w:bCs/>
                <w:sz w:val="24"/>
                <w:szCs w:val="22"/>
              </w:rPr>
              <w:t>副研究员</w:t>
            </w:r>
            <w:r>
              <w:rPr>
                <w:rFonts w:eastAsia="仿宋_GB2312"/>
                <w:bCs/>
                <w:sz w:val="24"/>
                <w:szCs w:val="22"/>
              </w:rPr>
              <w:t>，浙江大学</w:t>
            </w:r>
            <w:r>
              <w:rPr>
                <w:rFonts w:hint="eastAsia" w:eastAsia="仿宋_GB2312"/>
                <w:bCs/>
                <w:sz w:val="24"/>
                <w:szCs w:val="22"/>
              </w:rPr>
              <w:t>杭州国际科创中心</w:t>
            </w:r>
          </w:p>
        </w:tc>
      </w:tr>
      <w:tr w14:paraId="121E2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269" w:type="dxa"/>
            <w:tcBorders>
              <w:right w:val="single" w:color="auto" w:sz="4" w:space="0"/>
            </w:tcBorders>
            <w:vAlign w:val="center"/>
          </w:tcPr>
          <w:p w14:paraId="100A41E0">
            <w:pPr>
              <w:spacing w:line="440" w:lineRule="exact"/>
              <w:jc w:val="center"/>
              <w:rPr>
                <w:rFonts w:eastAsia="仿宋_GB2312"/>
                <w:bCs/>
                <w:sz w:val="28"/>
                <w:szCs w:val="24"/>
              </w:rPr>
            </w:pPr>
            <w:r>
              <w:rPr>
                <w:rFonts w:eastAsia="仿宋_GB2312"/>
                <w:bCs/>
                <w:sz w:val="28"/>
                <w:szCs w:val="24"/>
              </w:rPr>
              <w:t>主要完成单位</w:t>
            </w:r>
          </w:p>
        </w:tc>
        <w:tc>
          <w:tcPr>
            <w:tcW w:w="6237" w:type="dxa"/>
            <w:tcBorders>
              <w:left w:val="single" w:color="auto" w:sz="4" w:space="0"/>
            </w:tcBorders>
            <w:vAlign w:val="center"/>
          </w:tcPr>
          <w:p w14:paraId="1F22B8F4">
            <w:pPr>
              <w:spacing w:line="440" w:lineRule="exact"/>
              <w:jc w:val="left"/>
              <w:rPr>
                <w:rFonts w:eastAsia="仿宋_GB2312"/>
                <w:bCs/>
                <w:sz w:val="24"/>
                <w:szCs w:val="22"/>
              </w:rPr>
            </w:pPr>
            <w:r>
              <w:rPr>
                <w:rFonts w:hint="eastAsia" w:eastAsia="仿宋_GB2312"/>
                <w:bCs/>
                <w:sz w:val="24"/>
                <w:szCs w:val="22"/>
              </w:rPr>
              <w:t>浙江大学</w:t>
            </w:r>
          </w:p>
        </w:tc>
      </w:tr>
      <w:tr w14:paraId="3A2C3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29D8A92C">
            <w:pPr>
              <w:spacing w:line="440" w:lineRule="exact"/>
              <w:jc w:val="center"/>
              <w:rPr>
                <w:rFonts w:eastAsia="仿宋_GB2312"/>
                <w:szCs w:val="24"/>
              </w:rPr>
            </w:pPr>
            <w:r>
              <w:rPr>
                <w:rFonts w:eastAsia="仿宋_GB2312"/>
                <w:sz w:val="28"/>
                <w:szCs w:val="36"/>
              </w:rPr>
              <w:t>提名单位</w:t>
            </w:r>
          </w:p>
        </w:tc>
        <w:tc>
          <w:tcPr>
            <w:tcW w:w="6237" w:type="dxa"/>
            <w:vAlign w:val="center"/>
          </w:tcPr>
          <w:p w14:paraId="77DED206">
            <w:pPr>
              <w:spacing w:line="440" w:lineRule="exact"/>
              <w:contextualSpacing/>
              <w:jc w:val="left"/>
              <w:rPr>
                <w:rFonts w:eastAsia="仿宋_GB2312"/>
                <w:sz w:val="24"/>
                <w:szCs w:val="22"/>
              </w:rPr>
            </w:pPr>
            <w:r>
              <w:rPr>
                <w:rFonts w:eastAsia="仿宋_GB2312"/>
                <w:sz w:val="24"/>
                <w:szCs w:val="22"/>
              </w:rPr>
              <w:t>浙江大学</w:t>
            </w:r>
          </w:p>
        </w:tc>
      </w:tr>
      <w:tr w14:paraId="65E7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9" w:hRule="atLeast"/>
        </w:trPr>
        <w:tc>
          <w:tcPr>
            <w:tcW w:w="2269" w:type="dxa"/>
            <w:vAlign w:val="center"/>
          </w:tcPr>
          <w:p w14:paraId="4D3786B0">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6636F87C">
            <w:pPr>
              <w:spacing w:line="360" w:lineRule="auto"/>
              <w:contextualSpacing/>
              <w:rPr>
                <w:rStyle w:val="36"/>
                <w:b w:val="0"/>
                <w:color w:val="auto"/>
              </w:rPr>
            </w:pPr>
            <w:r>
              <w:rPr>
                <w:rStyle w:val="36"/>
                <w:rFonts w:hint="eastAsia"/>
                <w:b w:val="0"/>
                <w:color w:val="auto"/>
              </w:rPr>
              <w:t>该成果针对目前微孔晶体材料本征发光性能较弱且难以调控的关键难题，设计合成了系列含多功能位点的微孔晶体材料，创新性地利用微孔晶体中不同位点之间能量传递以及不同位点与客体分子的相互作用等途径实现了发光性能的量子剪裁，研究揭示了不同外场作用对微孔晶体材料发光增敏的作用及其物理机制，成果为研制开发新型光子功能材料提供了新原理和新方法，极大促进了微孔晶体材料的光子功能应用。提名该成果为浙江省自然科学一等奖。</w:t>
            </w:r>
          </w:p>
        </w:tc>
      </w:tr>
    </w:tbl>
    <w:p w14:paraId="70525062">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34B65B-A0C3-4EEB-9C7D-8515F921EE20}"/>
  </w:font>
  <w:font w:name="Arial">
    <w:panose1 w:val="020B0604020202020204"/>
    <w:charset w:val="01"/>
    <w:family w:val="swiss"/>
    <w:pitch w:val="default"/>
    <w:sig w:usb0="E0002EFF" w:usb1="C000785B" w:usb2="00000009" w:usb3="00000000" w:csb0="400001FF" w:csb1="FFFF0000"/>
    <w:embedRegular r:id="rId2" w:fontKey="{DF38311C-E180-4E18-B7A1-A725DA8B4C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4353591-44FA-470F-931E-6DEA5E4E1AA7}"/>
  </w:font>
  <w:font w:name="Symbol">
    <w:panose1 w:val="05050102010706020507"/>
    <w:charset w:val="02"/>
    <w:family w:val="roman"/>
    <w:pitch w:val="default"/>
    <w:sig w:usb0="00000000" w:usb1="00000000" w:usb2="00000000" w:usb3="00000000" w:csb0="80000000" w:csb1="00000000"/>
    <w:embedRegular r:id="rId4" w:fontKey="{103BC6B8-2651-4BF7-83F6-A9A0B87EE6DA}"/>
  </w:font>
  <w:font w:name="Calibri">
    <w:panose1 w:val="020F0502020204030204"/>
    <w:charset w:val="00"/>
    <w:family w:val="swiss"/>
    <w:pitch w:val="default"/>
    <w:sig w:usb0="E4002EFF" w:usb1="C000247B" w:usb2="00000009" w:usb3="00000000" w:csb0="200001FF" w:csb1="00000000"/>
    <w:embedRegular r:id="rId5" w:fontKey="{324D78A7-2730-4213-951E-E0FEF8D9ACC7}"/>
  </w:font>
  <w:font w:name="Cambria">
    <w:panose1 w:val="02040503050406030204"/>
    <w:charset w:val="00"/>
    <w:family w:val="roman"/>
    <w:pitch w:val="default"/>
    <w:sig w:usb0="E00006FF" w:usb1="420024FF" w:usb2="02000000" w:usb3="00000000" w:csb0="2000019F" w:csb1="00000000"/>
    <w:embedRegular r:id="rId6" w:fontKey="{B6932E60-CA4A-4C20-A0E2-18C3CFF2AB79}"/>
  </w:font>
  <w:font w:name="仿宋_GB2312">
    <w:panose1 w:val="02010609030101010101"/>
    <w:charset w:val="86"/>
    <w:family w:val="modern"/>
    <w:pitch w:val="default"/>
    <w:sig w:usb0="00000001" w:usb1="080E0000" w:usb2="00000000" w:usb3="00000000" w:csb0="00040000" w:csb1="00000000"/>
    <w:embedRegular r:id="rId7" w:fontKey="{B9E4FFBE-B70C-4BF9-B388-4855D1001332}"/>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A3565354-FF2B-4DE2-B75C-66F5D87D2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7F17F3B">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D82A">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215A9">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D278">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EB2C43"/>
    <w:multiLevelType w:val="multilevel"/>
    <w:tmpl w:val="2EEB2C43"/>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9A80559"/>
    <w:multiLevelType w:val="multilevel"/>
    <w:tmpl w:val="49A80559"/>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4138"/>
    <w:rsid w:val="00074D93"/>
    <w:rsid w:val="00083906"/>
    <w:rsid w:val="000847FC"/>
    <w:rsid w:val="000929AE"/>
    <w:rsid w:val="0009644B"/>
    <w:rsid w:val="000A0FE4"/>
    <w:rsid w:val="000B2E39"/>
    <w:rsid w:val="000B70B3"/>
    <w:rsid w:val="000C632A"/>
    <w:rsid w:val="000F1229"/>
    <w:rsid w:val="000F2CC3"/>
    <w:rsid w:val="000F6066"/>
    <w:rsid w:val="000F6517"/>
    <w:rsid w:val="000F6B39"/>
    <w:rsid w:val="000F7732"/>
    <w:rsid w:val="001002D3"/>
    <w:rsid w:val="001039E9"/>
    <w:rsid w:val="00104F03"/>
    <w:rsid w:val="00115320"/>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B4A79"/>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3331"/>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545F"/>
    <w:rsid w:val="00347614"/>
    <w:rsid w:val="00354583"/>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49A9"/>
    <w:rsid w:val="004179C8"/>
    <w:rsid w:val="0042367A"/>
    <w:rsid w:val="00427A6E"/>
    <w:rsid w:val="004300EE"/>
    <w:rsid w:val="00440FFA"/>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1CC5"/>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06A"/>
    <w:rsid w:val="00626265"/>
    <w:rsid w:val="006269F8"/>
    <w:rsid w:val="00642EBC"/>
    <w:rsid w:val="00643B2E"/>
    <w:rsid w:val="00646998"/>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221"/>
    <w:rsid w:val="006F0C81"/>
    <w:rsid w:val="006F5EED"/>
    <w:rsid w:val="006F7780"/>
    <w:rsid w:val="00702AE2"/>
    <w:rsid w:val="00710585"/>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3C10"/>
    <w:rsid w:val="00784D44"/>
    <w:rsid w:val="00793C8C"/>
    <w:rsid w:val="00793E7F"/>
    <w:rsid w:val="007940D2"/>
    <w:rsid w:val="00794B04"/>
    <w:rsid w:val="0079610B"/>
    <w:rsid w:val="00797739"/>
    <w:rsid w:val="007A5E60"/>
    <w:rsid w:val="007B0382"/>
    <w:rsid w:val="007B5FC0"/>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C66"/>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76A12"/>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0B58"/>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522B1"/>
    <w:rsid w:val="00B63A00"/>
    <w:rsid w:val="00B651CC"/>
    <w:rsid w:val="00B73F27"/>
    <w:rsid w:val="00B74C14"/>
    <w:rsid w:val="00B92BAD"/>
    <w:rsid w:val="00B9520A"/>
    <w:rsid w:val="00B979F5"/>
    <w:rsid w:val="00BA07A7"/>
    <w:rsid w:val="00BA3056"/>
    <w:rsid w:val="00BB47F3"/>
    <w:rsid w:val="00BC0513"/>
    <w:rsid w:val="00BD0ED0"/>
    <w:rsid w:val="00BE7259"/>
    <w:rsid w:val="00C05C5B"/>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A0ADD"/>
    <w:rsid w:val="00DB4445"/>
    <w:rsid w:val="00DC0F80"/>
    <w:rsid w:val="00DC1C67"/>
    <w:rsid w:val="00DD7D0E"/>
    <w:rsid w:val="00DF02D4"/>
    <w:rsid w:val="00DF2AD8"/>
    <w:rsid w:val="00DF43D6"/>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2D5D35"/>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810</Words>
  <Characters>2198</Characters>
  <Lines>17</Lines>
  <Paragraphs>4</Paragraphs>
  <TotalTime>235</TotalTime>
  <ScaleCrop>false</ScaleCrop>
  <LinksUpToDate>false</LinksUpToDate>
  <CharactersWithSpaces>2439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葛格</cp:lastModifiedBy>
  <cp:lastPrinted>2025-09-11T01:43:00Z</cp:lastPrinted>
  <dcterms:modified xsi:type="dcterms:W3CDTF">2025-09-12T01:43:52Z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05D16FF2690C478B8D20E5EA3D80D6D7_13</vt:lpwstr>
  </property>
</Properties>
</file>