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宋体" w:hAnsi="宋体" w:eastAsia="宋体"/>
          <w:bCs w:val="0"/>
          <w:color w:val="auto"/>
          <w:sz w:val="36"/>
          <w:szCs w:val="36"/>
        </w:rPr>
      </w:pPr>
      <w:r>
        <w:rPr>
          <w:rStyle w:val="9"/>
          <w:rFonts w:ascii="宋体" w:hAnsi="宋体" w:eastAsia="宋体"/>
          <w:color w:val="auto"/>
          <w:sz w:val="36"/>
          <w:szCs w:val="36"/>
        </w:rPr>
        <w:t>浙江省科学技术奖公示信息表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5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bookmarkStart w:id="2" w:name="_GoBack"/>
            <w:r>
              <w:rPr>
                <w:rStyle w:val="9"/>
                <w:rFonts w:eastAsia="仿宋_GB2312"/>
                <w:b w:val="0"/>
                <w:color w:val="auto"/>
                <w:sz w:val="28"/>
              </w:rPr>
              <w:t>新能源碱液电解制氢高效宽范围变流控制与氢电协同技术及应用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发明专利：一种适应宽功率波动的碱液电解制氢控制方法，</w:t>
            </w:r>
            <w:r>
              <w:rPr>
                <w:rFonts w:eastAsia="仿宋_GB2312"/>
                <w:bCs/>
                <w:sz w:val="24"/>
                <w:szCs w:val="24"/>
              </w:rPr>
              <w:t>ZL202210792883.9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：一种多模态自寻优电解制氢电路及控制方法，</w:t>
            </w:r>
            <w:r>
              <w:rPr>
                <w:rFonts w:eastAsia="仿宋_GB2312"/>
                <w:bCs/>
                <w:sz w:val="24"/>
                <w:szCs w:val="24"/>
              </w:rPr>
              <w:t>ZL202310526413.2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：一种碱液电解制氢参与电网深度调峰的控制方法，</w:t>
            </w:r>
            <w:r>
              <w:rPr>
                <w:rFonts w:eastAsia="仿宋_GB2312"/>
                <w:bCs/>
                <w:sz w:val="24"/>
                <w:szCs w:val="24"/>
              </w:rPr>
              <w:t>ZL202310444959.3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发明专利：交流电解系统控制方法、装置及交流电解系统，</w:t>
            </w:r>
            <w:r>
              <w:rPr>
                <w:rFonts w:eastAsia="仿宋_GB2312"/>
                <w:bCs/>
                <w:sz w:val="24"/>
                <w:szCs w:val="24"/>
              </w:rPr>
              <w:t>ZL202210001858.4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； 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：基于滑模控制的碱液电解槽脉冲电流制氢电路及控制方法，</w:t>
            </w:r>
            <w:r>
              <w:rPr>
                <w:rFonts w:eastAsia="仿宋_GB2312"/>
                <w:bCs/>
                <w:sz w:val="24"/>
                <w:szCs w:val="24"/>
              </w:rPr>
              <w:t>ZL202510602819.3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发明专利：一种电网功率调度系统、方法、装置及存储介质，</w:t>
            </w:r>
            <w:r>
              <w:rPr>
                <w:rFonts w:eastAsia="仿宋_GB2312"/>
                <w:bCs/>
                <w:sz w:val="24"/>
                <w:szCs w:val="24"/>
              </w:rPr>
              <w:t>ZL202010361814.3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>Efficiency and consistency enhancement for alkaline electrolyzers driven by renewable energy sources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i/>
                <w:sz w:val="24"/>
                <w:szCs w:val="24"/>
              </w:rPr>
              <w:t>Communications</w:t>
            </w:r>
            <w:r>
              <w:rPr>
                <w:rFonts w:eastAsia="仿宋_GB2312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i/>
                <w:sz w:val="24"/>
                <w:szCs w:val="24"/>
              </w:rPr>
              <w:t>Engineering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2023, 2(1): 22</w:t>
            </w:r>
            <w:r>
              <w:rPr>
                <w:rFonts w:hint="eastAsia" w:eastAsia="仿宋_GB2312"/>
                <w:bCs/>
                <w:sz w:val="24"/>
                <w:szCs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8.</w:t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Current bunching effect of large-scale alkaline hydrogen evolution driven by renewable energy sources, </w:t>
            </w:r>
            <w:r>
              <w:rPr>
                <w:rFonts w:eastAsia="仿宋_GB2312"/>
                <w:bCs/>
                <w:i/>
                <w:sz w:val="24"/>
                <w:szCs w:val="24"/>
              </w:rPr>
              <w:t>Cell Reports Physical Science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2024, 5(6)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9.</w:t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>Self-Optimization Control for Alkaline Water Electrolyzers Considering Electrolyzer Temperature Variations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i/>
                <w:sz w:val="24"/>
                <w:szCs w:val="24"/>
              </w:rPr>
              <w:t>IEEE Transactions on Industrial Electronics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2025,72(3):2700-2711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10.</w:t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</w:t>
            </w:r>
            <w:r>
              <w:rPr>
                <w:rFonts w:eastAsia="仿宋_GB2312"/>
                <w:bCs/>
                <w:sz w:val="24"/>
                <w:szCs w:val="24"/>
              </w:rPr>
              <w:t>Optimal planning for electricity-hydrogen integrated energy system considering multiple timescale operations and representative time-period selection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i/>
                <w:sz w:val="24"/>
                <w:szCs w:val="24"/>
              </w:rPr>
              <w:t>Applied Energy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2024, 362: 122965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韦巍，排名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，教授，浙江大学；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夏杨红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特聘研究员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赵景涛，排名3，教高，国电南瑞科技股份有限公司；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周永智</w:t>
            </w:r>
            <w:r>
              <w:rPr>
                <w:rFonts w:eastAsia="仿宋_GB2312"/>
                <w:bCs/>
                <w:sz w:val="24"/>
                <w:szCs w:val="24"/>
              </w:rPr>
              <w:t>，排名4，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bookmarkStart w:id="0" w:name="OLE_LINK8"/>
            <w:bookmarkStart w:id="1" w:name="OLE_LINK7"/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bookmarkEnd w:id="0"/>
            <w:bookmarkEnd w:id="1"/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孙勇</w:t>
            </w:r>
            <w:r>
              <w:rPr>
                <w:rFonts w:eastAsia="仿宋_GB2312"/>
                <w:bCs/>
                <w:sz w:val="24"/>
                <w:szCs w:val="24"/>
              </w:rPr>
              <w:t>，排名5，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国网吉林省电力有限公司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吴云来，排名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，高工，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浙江正泰新能源开发有限公司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孙龙林，排名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/>
                <w:sz w:val="24"/>
                <w:szCs w:val="24"/>
              </w:rPr>
              <w:t>，高工，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阳光氢能科技有限公司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赵凯，排名</w:t>
            </w:r>
            <w:r>
              <w:rPr>
                <w:rFonts w:eastAsia="仿宋_GB2312"/>
                <w:sz w:val="24"/>
                <w:szCs w:val="24"/>
              </w:rPr>
              <w:t>8</w:t>
            </w:r>
            <w:r>
              <w:rPr>
                <w:rFonts w:hint="eastAsia" w:eastAsia="仿宋_GB2312"/>
                <w:sz w:val="24"/>
                <w:szCs w:val="24"/>
              </w:rPr>
              <w:t>，工程师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考克利尔竞立（苏州）氢能科技有限公司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程浩然，排名</w:t>
            </w:r>
            <w:r>
              <w:rPr>
                <w:rFonts w:eastAsia="仿宋_GB2312"/>
                <w:sz w:val="24"/>
                <w:szCs w:val="24"/>
              </w:rPr>
              <w:t>9</w:t>
            </w:r>
            <w:r>
              <w:rPr>
                <w:rFonts w:hint="eastAsia" w:eastAsia="仿宋_GB2312"/>
                <w:sz w:val="24"/>
                <w:szCs w:val="24"/>
              </w:rPr>
              <w:t>，中级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刘如帆，排名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hint="eastAsia" w:eastAsia="仿宋_GB2312"/>
                <w:sz w:val="24"/>
                <w:szCs w:val="24"/>
              </w:rPr>
              <w:t>，高工，国电南瑞科技股份有限公司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薄耀龙，排名</w:t>
            </w:r>
            <w:r>
              <w:rPr>
                <w:rFonts w:eastAsia="仿宋_GB2312"/>
                <w:sz w:val="24"/>
                <w:szCs w:val="24"/>
              </w:rPr>
              <w:t>11</w:t>
            </w:r>
            <w:r>
              <w:rPr>
                <w:rFonts w:hint="eastAsia" w:eastAsia="仿宋_GB2312"/>
                <w:sz w:val="24"/>
                <w:szCs w:val="24"/>
              </w:rPr>
              <w:t>，中级，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浙江正泰新能源开发有限公司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3.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考克利尔竞立（苏州）氢能科技有限公司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国电南瑞科技股份有限公司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阳光氢能科技有限公司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国网吉林省电力有限公司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ind w:firstLine="428" w:firstLineChars="200"/>
              <w:rPr>
                <w:bCs/>
                <w:spacing w:val="2"/>
              </w:rPr>
            </w:pPr>
            <w:r>
              <w:rPr>
                <w:rFonts w:hint="eastAsia"/>
                <w:bCs/>
                <w:spacing w:val="2"/>
              </w:rPr>
              <w:t>随着“双碳”战略推进，亟需破解规模化消纳风光资源这一难题，氢能作为实现新能源多元转化和高效利用的重要途径，其高效制备技术是能源领域核心攻关方向。该成果由浙江大学与国内电氢转化、新能源和电网等企业近1</w:t>
            </w:r>
            <w:r>
              <w:rPr>
                <w:bCs/>
                <w:spacing w:val="2"/>
              </w:rPr>
              <w:t>0</w:t>
            </w:r>
            <w:r>
              <w:rPr>
                <w:rFonts w:hint="eastAsia"/>
                <w:bCs/>
                <w:spacing w:val="2"/>
              </w:rPr>
              <w:t>多年的联合攻关，针对大容量低成本碱液电解制氢的适应性差等问题开展研究，提出了碱液电解槽多模态自寻优变流控制技术、电解电压动态诱导调控方法及电氢互动调控技术，研制出多模态制氢装备、耐波动变流器及云边端协同调控系统等核心装备，实现了碱液电解制氢高效宽范围运行、寿命显著延长及与电网协同优化响应。经中国电机工程学会鉴定：项目成果突破了宽范围高效碱液电解制氢的世界性难题，为新能源最大化消纳和用能绿色转型提供了经济安全的解决方案，整体居国际领先水平。</w:t>
            </w:r>
          </w:p>
          <w:p>
            <w:pPr>
              <w:ind w:firstLine="428" w:firstLineChars="200"/>
              <w:contextualSpacing/>
              <w:rPr>
                <w:rStyle w:val="9"/>
                <w:b w:val="0"/>
                <w:color w:val="auto"/>
              </w:rPr>
            </w:pPr>
            <w:r>
              <w:rPr>
                <w:rFonts w:hint="eastAsia"/>
                <w:bCs/>
                <w:spacing w:val="2"/>
              </w:rPr>
              <w:t>成果已应用于中能建吉林松原氢能产业园—绿色氢氨醇一体化、三峡内蒙纳日松光伏制氢等项目中，已推广应用至青海、河北等省份和土耳其、比例时等国家，经济效益与社会效益显著。该成果的应用推动我国高比例新能源消纳及氢能新质生产力发展，支撑国家“双碳”战略的实施。提名该成果为浙江省科学技术进步奖一等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A7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ind w:firstLine="420" w:firstLineChars="200"/>
    </w:pPr>
  </w:style>
  <w:style w:type="paragraph" w:styleId="4">
    <w:name w:val="annotation text"/>
    <w:basedOn w:val="1"/>
    <w:link w:val="10"/>
    <w:qFormat/>
    <w:uiPriority w:val="99"/>
    <w:pPr>
      <w:widowControl/>
      <w:jc w:val="left"/>
    </w:pPr>
  </w:style>
  <w:style w:type="character" w:styleId="7">
    <w:name w:val="Hyperlink"/>
    <w:basedOn w:val="6"/>
    <w:uiPriority w:val="99"/>
    <w:rPr>
      <w:color w:val="0563C1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批注文字 字符"/>
    <w:basedOn w:val="6"/>
    <w:link w:val="4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1750</Characters>
  <Paragraphs>52</Paragraphs>
  <TotalTime>180</TotalTime>
  <ScaleCrop>false</ScaleCrop>
  <LinksUpToDate>false</LinksUpToDate>
  <CharactersWithSpaces>1833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2024-08-01T10:47:00Z</dcterms:created>
  <dc:creator>ZJU</dc:creator>
  <cp:lastModifiedBy>chuxu</cp:lastModifiedBy>
  <dcterms:modified xsi:type="dcterms:W3CDTF">2025-09-11T13:25:59Z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CC5FB45BBD464BA68DF5AE3F777CDABF</vt:lpwstr>
  </property>
  <property fmtid="{D5CDD505-2E9C-101B-9397-08002B2CF9AE}" pid="3" name="KSOProductBuildVer">
    <vt:lpwstr>2052-11.1.0.12165</vt:lpwstr>
  </property>
</Properties>
</file>