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35096">
      <w:pPr>
        <w:spacing w:before="135" w:line="210" w:lineRule="auto"/>
        <w:ind w:left="1012"/>
        <w:rPr>
          <w:rFonts w:ascii="FangSong_GB2312" w:hAnsi="FangSong_GB2312" w:eastAsia="FangSong_GB2312" w:cs="FangSong_GB2312"/>
          <w:color w:val="auto"/>
          <w:sz w:val="31"/>
          <w:szCs w:val="3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auto"/>
          <w:spacing w:val="9"/>
          <w:sz w:val="35"/>
          <w:szCs w:val="35"/>
        </w:rPr>
        <w:t>浙江省科学技术奖公示信息表</w:t>
      </w:r>
      <w:r>
        <w:rPr>
          <w:rFonts w:ascii="FangSong_GB2312" w:hAnsi="FangSong_GB2312" w:eastAsia="FangSong_GB2312" w:cs="FangSong_GB2312"/>
          <w:color w:val="auto"/>
          <w:spacing w:val="9"/>
          <w:sz w:val="31"/>
          <w:szCs w:val="31"/>
        </w:rPr>
        <w:t>（单位提名）</w:t>
      </w:r>
    </w:p>
    <w:p w14:paraId="47D5D336">
      <w:pPr>
        <w:spacing w:before="152" w:line="213" w:lineRule="auto"/>
        <w:ind w:left="8"/>
        <w:rPr>
          <w:rFonts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ascii="FangSong_GB2312" w:hAnsi="FangSong_GB2312" w:eastAsia="FangSong_GB2312" w:cs="FangSong_GB2312"/>
          <w:color w:val="auto"/>
          <w:spacing w:val="2"/>
          <w:sz w:val="28"/>
          <w:szCs w:val="28"/>
        </w:rPr>
        <w:t>提名奖项</w:t>
      </w:r>
      <w:r>
        <w:rPr>
          <w:rFonts w:ascii="FangSong_GB2312" w:hAnsi="FangSong_GB2312" w:eastAsia="FangSong_GB2312" w:cs="FangSong_GB2312"/>
          <w:color w:val="auto"/>
          <w:spacing w:val="-100"/>
          <w:sz w:val="28"/>
          <w:szCs w:val="28"/>
        </w:rPr>
        <w:t>：</w:t>
      </w:r>
      <w:r>
        <w:rPr>
          <w:rFonts w:ascii="FangSong_GB2312" w:hAnsi="FangSong_GB2312" w:eastAsia="FangSong_GB2312" w:cs="FangSong_GB2312"/>
          <w:color w:val="auto"/>
          <w:spacing w:val="2"/>
          <w:sz w:val="28"/>
          <w:szCs w:val="28"/>
        </w:rPr>
        <w:t>科学技术进步奖</w:t>
      </w:r>
    </w:p>
    <w:p w14:paraId="4AB54160">
      <w:pPr>
        <w:spacing w:line="27" w:lineRule="auto"/>
        <w:rPr>
          <w:rFonts w:ascii="Arial"/>
          <w:color w:val="auto"/>
          <w:sz w:val="2"/>
        </w:rPr>
      </w:pPr>
    </w:p>
    <w:tbl>
      <w:tblPr>
        <w:tblStyle w:val="5"/>
        <w:tblW w:w="9502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7319"/>
      </w:tblGrid>
      <w:tr w14:paraId="018C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183" w:type="dxa"/>
            <w:vAlign w:val="top"/>
          </w:tcPr>
          <w:p w14:paraId="3C1D1D85">
            <w:pPr>
              <w:pStyle w:val="6"/>
              <w:spacing w:before="189" w:line="216" w:lineRule="auto"/>
              <w:ind w:left="59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7319" w:type="dxa"/>
            <w:vAlign w:val="center"/>
          </w:tcPr>
          <w:p w14:paraId="68779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超大规模网络化高性能控制装备与系统及其工程应用</w:t>
            </w:r>
          </w:p>
        </w:tc>
      </w:tr>
      <w:tr w14:paraId="747F7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83" w:type="dxa"/>
            <w:vAlign w:val="top"/>
          </w:tcPr>
          <w:p w14:paraId="58319B82">
            <w:pPr>
              <w:pStyle w:val="6"/>
              <w:spacing w:before="174" w:line="214" w:lineRule="auto"/>
              <w:ind w:left="5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提名等级</w:t>
            </w:r>
          </w:p>
        </w:tc>
        <w:tc>
          <w:tcPr>
            <w:tcW w:w="7319" w:type="dxa"/>
            <w:vAlign w:val="center"/>
          </w:tcPr>
          <w:p w14:paraId="240D7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105" w:leftChars="50" w:firstLine="0" w:firstLineChars="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一等奖</w:t>
            </w:r>
          </w:p>
        </w:tc>
      </w:tr>
      <w:tr w14:paraId="15C66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7" w:hRule="atLeast"/>
        </w:trPr>
        <w:tc>
          <w:tcPr>
            <w:tcW w:w="2183" w:type="dxa"/>
            <w:vAlign w:val="top"/>
          </w:tcPr>
          <w:p w14:paraId="5125137C"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 w14:paraId="7C721ED7"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 w14:paraId="1F0C1D2A"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 w14:paraId="2880FDC0">
            <w:pPr>
              <w:pStyle w:val="6"/>
              <w:spacing w:before="91" w:line="216" w:lineRule="auto"/>
              <w:ind w:left="72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3"/>
                <w:sz w:val="28"/>
                <w:szCs w:val="28"/>
              </w:rPr>
              <w:t>提名书</w:t>
            </w:r>
          </w:p>
          <w:p w14:paraId="555D5B9C">
            <w:pPr>
              <w:pStyle w:val="6"/>
              <w:spacing w:before="114" w:line="216" w:lineRule="auto"/>
              <w:ind w:left="58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相关内容</w:t>
            </w:r>
          </w:p>
        </w:tc>
        <w:tc>
          <w:tcPr>
            <w:tcW w:w="7319" w:type="dxa"/>
            <w:vAlign w:val="top"/>
          </w:tcPr>
          <w:p w14:paraId="25998D7E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5"/>
                <w:position w:val="2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27"/>
                <w:position w:val="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7"/>
                <w:position w:val="2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position w:val="2"/>
                <w:lang w:val="en-US" w:eastAsia="zh-CN"/>
              </w:rPr>
              <w:t>发明专利：一种支持时间敏感网络功能的安全分布式控制系统，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ZL202210087624.6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25981DAC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2.发明专利：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一种可实现任务迁移柔性功能重构的控制系统及方法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ZL202311098857.7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015D4416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3.发明专利：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一种可高实时多层次动态重构的工业控制系统架构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ZL202311120659.6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5B905E10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4.发明专利：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工业服务器的微内核架构控制系统及工业服务器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ZL201810745322.7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5F09B05C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5.发明专利：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PICS补偿器与PID控制器设计方法及装置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ZL202210738312.7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37B9130C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6.发明专利：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一种用于控制工程软件的脚本执行速度提升方法及装置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ZL202010119931.9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2B0FE9EC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7.发明专利：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基于多模态神经网络的工业控制系统异常检测方法及装置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ZL202310590659.6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598D9E7A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8.行业标准：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工业互联网 时间敏感网络技术要求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YD/T4492-2023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5BB5D4DA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9.国家标准：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基于时间敏感技术的宽带工业总线AUTBUS系统架构与通信规范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bidi="ar"/>
              </w:rPr>
              <w:t>GB/T42019-2022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；</w:t>
            </w:r>
          </w:p>
          <w:p w14:paraId="71D5F1AD">
            <w:pPr>
              <w:pStyle w:val="6"/>
              <w:spacing w:before="87" w:line="354" w:lineRule="exact"/>
              <w:ind w:left="114"/>
              <w:rPr>
                <w:rFonts w:hint="default" w:ascii="Times New Roman" w:hAnsi="Times New Roman" w:cs="Times New Roman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"/>
                <w:position w:val="2"/>
                <w:lang w:val="en-US" w:eastAsia="zh-CN"/>
              </w:rPr>
              <w:t>10.</w:t>
            </w:r>
            <w:r>
              <w:rPr>
                <w:rFonts w:hint="eastAsia" w:ascii="Times New Roman" w:hAnsi="Times New Roman" w:cs="Times New Roman"/>
                <w:color w:val="auto"/>
                <w:spacing w:val="1"/>
                <w:position w:val="2"/>
                <w:lang w:val="en-US" w:eastAsia="zh-CN"/>
              </w:rPr>
              <w:t>代表性论文：Applying Rely-guarantee Reasoning on Concurrent Memory Management and Mailbox in μC/OS-II: A Case Study，FMICS，Volume14290，2023。</w:t>
            </w:r>
          </w:p>
        </w:tc>
      </w:tr>
      <w:tr w14:paraId="67D41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83" w:type="dxa"/>
            <w:vAlign w:val="top"/>
          </w:tcPr>
          <w:p w14:paraId="6900758E"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 w14:paraId="55065636"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 w14:paraId="4B8BB7A6"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 w14:paraId="4FD27432">
            <w:pPr>
              <w:pStyle w:val="6"/>
              <w:spacing w:before="91" w:line="220" w:lineRule="auto"/>
              <w:ind w:left="45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5"/>
                <w:sz w:val="28"/>
                <w:szCs w:val="28"/>
              </w:rPr>
              <w:t>主要完成人</w:t>
            </w:r>
          </w:p>
        </w:tc>
        <w:tc>
          <w:tcPr>
            <w:tcW w:w="7319" w:type="dxa"/>
            <w:vAlign w:val="top"/>
          </w:tcPr>
          <w:p w14:paraId="5530B5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王文海，排名1 ，研究员，浙江大学；</w:t>
            </w:r>
          </w:p>
          <w:p w14:paraId="5B0EE8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李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 平，排名2 ，研究员，北京东土科技股份有限公司；</w:t>
            </w:r>
          </w:p>
          <w:p w14:paraId="0A1443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孙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歆，排名3 ，教授级高工，国网浙江省电力有限公司电力科学研究院；</w:t>
            </w:r>
          </w:p>
          <w:p w14:paraId="64642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贾廷纲，排名4，教授级高工，深圳市赢合科技股份有限公司；</w:t>
            </w:r>
          </w:p>
          <w:p w14:paraId="12BF4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孙优贤，排名5，教授，浙江大学；</w:t>
            </w:r>
          </w:p>
          <w:p w14:paraId="35A62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王竟亦，排名6，研究员，浙江大学；</w:t>
            </w:r>
          </w:p>
          <w:p w14:paraId="7FC3B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唐晓宇，排名7，研究员，浙江大学；</w:t>
            </w:r>
          </w:p>
          <w:p w14:paraId="05A7A0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王东霞，排名8，研究员，浙江大学；</w:t>
            </w:r>
          </w:p>
          <w:p w14:paraId="143D5C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徐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斌，排名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，工程师，杭州优稳自动化系统有限公司；</w:t>
            </w:r>
          </w:p>
          <w:p w14:paraId="6C016A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张益南，排名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，高级工程师，杭州优稳自动化系统有限公司；</w:t>
            </w:r>
          </w:p>
          <w:p w14:paraId="57570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何爱彬，排名1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，高级工程师，深圳市赢合科技股份有限公司；</w:t>
            </w:r>
          </w:p>
          <w:p w14:paraId="30461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张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刚，排名1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，教授级高工，南阳防爆电气研究所有限公司；</w:t>
            </w:r>
          </w:p>
          <w:p w14:paraId="36203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354" w:lineRule="exact"/>
              <w:ind w:left="57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陈源宝，排名1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，研究员，中国船舶集团有限公司第七一九研究所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"/>
                <w:position w:val="2"/>
                <w:lang w:val="en-US" w:eastAsia="zh-CN"/>
              </w:rPr>
              <w:t>。</w:t>
            </w:r>
          </w:p>
        </w:tc>
      </w:tr>
      <w:tr w14:paraId="4B046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2183" w:type="dxa"/>
            <w:vAlign w:val="top"/>
          </w:tcPr>
          <w:p w14:paraId="21CC4E01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23D9114A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3F9AEF7E"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 w14:paraId="415021BB">
            <w:pPr>
              <w:pStyle w:val="6"/>
              <w:spacing w:before="91" w:line="219" w:lineRule="auto"/>
              <w:ind w:left="3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5"/>
                <w:sz w:val="28"/>
                <w:szCs w:val="28"/>
              </w:rPr>
              <w:t>主要完成单位</w:t>
            </w:r>
          </w:p>
        </w:tc>
        <w:tc>
          <w:tcPr>
            <w:tcW w:w="7319" w:type="dxa"/>
            <w:vAlign w:val="top"/>
          </w:tcPr>
          <w:p w14:paraId="718CE961">
            <w:pPr>
              <w:pStyle w:val="6"/>
              <w:spacing w:before="87" w:line="354" w:lineRule="exact"/>
              <w:ind w:left="110"/>
              <w:rPr>
                <w:rFonts w:hint="default" w:ascii="Times New Roman" w:hAnsi="Times New Roman" w:eastAsia="仿宋_GB2312" w:cs="Times New Roman"/>
                <w:color w:val="auto"/>
                <w:spacing w:val="-1"/>
                <w:positio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position w:val="2"/>
              </w:rPr>
              <w:t>1.单位名称：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position w:val="2"/>
                <w:lang w:val="en-US" w:eastAsia="zh-CN"/>
              </w:rPr>
              <w:t>浙江大学</w:t>
            </w:r>
          </w:p>
          <w:p w14:paraId="5C54BDF0">
            <w:pPr>
              <w:pStyle w:val="6"/>
              <w:spacing w:before="87" w:line="354" w:lineRule="exact"/>
              <w:ind w:left="110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2"/>
              </w:rPr>
              <w:t>2.</w:t>
            </w:r>
            <w:r>
              <w:rPr>
                <w:color w:val="auto"/>
                <w:spacing w:val="-1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北京东土科技股份有限公司</w:t>
            </w:r>
          </w:p>
          <w:p w14:paraId="1FC02CB1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3.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深圳市赢合科技股份有限公司</w:t>
            </w:r>
          </w:p>
          <w:p w14:paraId="13FE01B8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position w:val="2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杭州优稳自动化系统有限公司</w:t>
            </w:r>
          </w:p>
          <w:p w14:paraId="6413E6E6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position w:val="2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国网浙江省电力有限公司电力科学研究院</w:t>
            </w:r>
          </w:p>
          <w:p w14:paraId="01C45FAE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position w:val="2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南阳防爆电气研究所有限公司</w:t>
            </w:r>
          </w:p>
          <w:p w14:paraId="04C0B923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position w:val="2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中国船舶集团有限公司第七一九研究所</w:t>
            </w:r>
          </w:p>
          <w:p w14:paraId="4B4B5130">
            <w:pPr>
              <w:pStyle w:val="6"/>
              <w:spacing w:before="85" w:line="354" w:lineRule="exact"/>
              <w:ind w:left="115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2"/>
                <w:position w:val="2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2"/>
              </w:rPr>
              <w:t>.</w:t>
            </w:r>
            <w:r>
              <w:rPr>
                <w:color w:val="auto"/>
                <w:spacing w:val="-2"/>
                <w:position w:val="2"/>
              </w:rPr>
              <w:t>单位名称：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湖州工业控制技术研究院</w:t>
            </w:r>
          </w:p>
          <w:p w14:paraId="005BCBE7">
            <w:pPr>
              <w:spacing w:line="26" w:lineRule="exact"/>
              <w:rPr>
                <w:color w:val="auto"/>
              </w:rPr>
            </w:pPr>
          </w:p>
        </w:tc>
      </w:tr>
      <w:tr w14:paraId="698DD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83" w:type="dxa"/>
            <w:vAlign w:val="top"/>
          </w:tcPr>
          <w:p w14:paraId="12BBB10F">
            <w:pPr>
              <w:pStyle w:val="6"/>
              <w:spacing w:before="209" w:line="214" w:lineRule="auto"/>
              <w:ind w:left="5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提名单位</w:t>
            </w:r>
          </w:p>
        </w:tc>
        <w:tc>
          <w:tcPr>
            <w:tcW w:w="7319" w:type="dxa"/>
            <w:vAlign w:val="top"/>
          </w:tcPr>
          <w:p w14:paraId="16DC35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4" w:lineRule="auto"/>
              <w:ind w:left="105" w:leftChars="50"/>
              <w:textAlignment w:val="baseline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浙江大学</w:t>
            </w:r>
          </w:p>
        </w:tc>
      </w:tr>
      <w:tr w14:paraId="11A54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2183" w:type="dxa"/>
            <w:vAlign w:val="top"/>
          </w:tcPr>
          <w:p w14:paraId="4562C708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7737584E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0E7C3EC1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3777A0AA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36DEE647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58FA537C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60116E9D">
            <w:pPr>
              <w:pStyle w:val="6"/>
              <w:spacing w:before="91" w:line="216" w:lineRule="auto"/>
              <w:ind w:left="5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2"/>
                <w:sz w:val="28"/>
                <w:szCs w:val="28"/>
              </w:rPr>
              <w:t>提名意见</w:t>
            </w:r>
          </w:p>
        </w:tc>
        <w:tc>
          <w:tcPr>
            <w:tcW w:w="7319" w:type="dxa"/>
            <w:vAlign w:val="top"/>
          </w:tcPr>
          <w:p w14:paraId="28F125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88" w:lineRule="auto"/>
              <w:ind w:left="42" w:leftChars="20" w:right="42" w:rightChars="2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该项目组在工信部工业互联网创新发展工程、国家重点研发计划等项目的支持下，经过15余年的研究开发和技术积累，突破了TSN网络低延时低抖动通信等多项关键核心技术，形成UCS关键核心技术、UCS主体硬件设备、UCS核心工业软件等三项重大成果，研制出国际首套超大规模网络化高性能控制系统UCS、国际上首套领域模型驱动的控制工程设计开发平台、国内首套全流程自主可控、安全可信的TSN通用系列核心芯片。该项目已发表论文8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篇，授权发明专利14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项，编制国家等标准18项，其他知识产权143项，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由吴澄、王天然、于全、桂卫华、段广仁、王耀南等院士组成的鉴定委员会认为：整体技术处于国际先进水平，其中TSN网络低延时低抖动通信等四项关键核心技术达到国际领先水平。</w:t>
            </w:r>
          </w:p>
          <w:p w14:paraId="7CEC1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ind w:left="42" w:leftChars="20" w:right="42" w:rightChars="2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该项目实现了控制装备的高可靠性和强实时性、控制工程的高适应性和高可用性、控制系统的高安全性和超大规模，构建了自主可控的核心技术体系，并实现规模化工程应用，成果产业化应用于智能制造、智能电网等行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万余套，取得重大经济社会效益，并对发展我国高端控制装备及系统，增强智能制造能力，确保经济、工业和军事安全具有重大战略意义。</w:t>
            </w:r>
          </w:p>
        </w:tc>
      </w:tr>
    </w:tbl>
    <w:p w14:paraId="709A7868">
      <w:pPr>
        <w:rPr>
          <w:rFonts w:ascii="Arial"/>
          <w:color w:val="auto"/>
          <w:sz w:val="21"/>
        </w:rPr>
      </w:pPr>
    </w:p>
    <w:sectPr>
      <w:headerReference r:id="rId5" w:type="default"/>
      <w:pgSz w:w="11906" w:h="16839"/>
      <w:pgMar w:top="1134" w:right="1644" w:bottom="1134" w:left="1643" w:header="107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52AD">
    <w:pPr>
      <w:spacing w:line="46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61309E"/>
    <w:rsid w:val="066F6E3E"/>
    <w:rsid w:val="07FE2B6F"/>
    <w:rsid w:val="1A584F7D"/>
    <w:rsid w:val="25D02FFD"/>
    <w:rsid w:val="27B8643F"/>
    <w:rsid w:val="2B33475A"/>
    <w:rsid w:val="2B4C75CA"/>
    <w:rsid w:val="32B6049D"/>
    <w:rsid w:val="3ACD1DA9"/>
    <w:rsid w:val="445B0426"/>
    <w:rsid w:val="503076CB"/>
    <w:rsid w:val="52077499"/>
    <w:rsid w:val="52EC15E0"/>
    <w:rsid w:val="58207565"/>
    <w:rsid w:val="5F925D59"/>
    <w:rsid w:val="60D31618"/>
    <w:rsid w:val="66AD290B"/>
    <w:rsid w:val="772058F7"/>
    <w:rsid w:val="7A291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1313</Words>
  <Characters>1590</Characters>
  <TotalTime>6</TotalTime>
  <ScaleCrop>false</ScaleCrop>
  <LinksUpToDate>false</LinksUpToDate>
  <CharactersWithSpaces>1624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2025-09-10T03:24:00Z</dcterms:created>
  <dc:creator>zhangww</dc:creator>
  <cp:lastModifiedBy>葛格</cp:lastModifiedBy>
  <dcterms:modified xsi:type="dcterms:W3CDTF">2025-09-12T01:46:28Z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2025-09-10T11:24:43Z</vt:filetime>
  </property>
  <property fmtid="{D5CDD505-2E9C-101B-9397-08002B2CF9AE}" pid="4" name="KSOTemplateDocerSaveRecord">
    <vt:lpwstr>eyJoZGlkIjoiNDI1NGQ4MDY4NjMxYWVlMzc3ODM2NDE0MmU1ODUxYzYiLCJ1c2VySWQiOiI0Mjg1NjIyNzYifQ==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B38CBD396F3F479EBB9B97CDF25FEC77_13</vt:lpwstr>
  </property>
</Properties>
</file>