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61398" w14:textId="5DE8092B" w:rsidR="00816C34" w:rsidRPr="00816C34" w:rsidRDefault="00816C34" w:rsidP="00816C34">
      <w:pPr>
        <w:adjustRightInd w:val="0"/>
        <w:snapToGrid w:val="0"/>
        <w:spacing w:line="500" w:lineRule="exact"/>
        <w:jc w:val="left"/>
        <w:rPr>
          <w:rFonts w:ascii="仿宋" w:eastAsia="仿宋" w:hAnsi="仿宋"/>
          <w:b/>
          <w:bCs/>
          <w:color w:val="000000"/>
          <w:kern w:val="0"/>
          <w:sz w:val="28"/>
          <w:szCs w:val="28"/>
        </w:rPr>
      </w:pPr>
      <w:r w:rsidRPr="00816C34">
        <w:rPr>
          <w:rFonts w:ascii="仿宋" w:eastAsia="仿宋" w:hAnsi="仿宋"/>
          <w:b/>
          <w:bCs/>
          <w:color w:val="000000"/>
          <w:kern w:val="0"/>
          <w:sz w:val="28"/>
          <w:szCs w:val="28"/>
        </w:rPr>
        <w:t>附</w:t>
      </w:r>
      <w:r w:rsidRPr="00816C34">
        <w:rPr>
          <w:rFonts w:ascii="仿宋" w:eastAsia="仿宋" w:hAnsi="仿宋" w:hint="eastAsia"/>
          <w:b/>
          <w:bCs/>
          <w:color w:val="000000"/>
          <w:kern w:val="0"/>
          <w:sz w:val="28"/>
          <w:szCs w:val="28"/>
        </w:rPr>
        <w:t>：</w:t>
      </w:r>
      <w:r w:rsidRPr="00816C34">
        <w:rPr>
          <w:rFonts w:ascii="仿宋" w:eastAsia="仿宋" w:hAnsi="仿宋"/>
          <w:b/>
          <w:bCs/>
          <w:color w:val="000000"/>
          <w:kern w:val="0"/>
          <w:sz w:val="28"/>
          <w:szCs w:val="28"/>
        </w:rPr>
        <w:t>公示内容</w:t>
      </w:r>
    </w:p>
    <w:p w14:paraId="139AAA74" w14:textId="77777777" w:rsidR="00816C34" w:rsidRPr="00613649" w:rsidRDefault="00816C34" w:rsidP="00816C34">
      <w:pPr>
        <w:adjustRightInd w:val="0"/>
        <w:snapToGrid w:val="0"/>
        <w:spacing w:line="500" w:lineRule="exact"/>
        <w:rPr>
          <w:rFonts w:ascii="仿宋" w:eastAsia="仿宋" w:hAnsi="仿宋"/>
          <w:color w:val="000000"/>
          <w:kern w:val="0"/>
          <w:sz w:val="24"/>
          <w:szCs w:val="24"/>
        </w:rPr>
      </w:pPr>
      <w:r w:rsidRPr="00613649">
        <w:rPr>
          <w:rFonts w:ascii="仿宋" w:eastAsia="仿宋" w:hAnsi="仿宋" w:hint="eastAsia"/>
          <w:b/>
          <w:bCs/>
          <w:color w:val="000000"/>
          <w:kern w:val="0"/>
          <w:sz w:val="24"/>
          <w:szCs w:val="24"/>
        </w:rPr>
        <w:t>1、</w:t>
      </w:r>
      <w:r w:rsidRPr="00613649">
        <w:rPr>
          <w:rFonts w:ascii="仿宋" w:eastAsia="仿宋" w:hAnsi="仿宋"/>
          <w:b/>
          <w:bCs/>
          <w:color w:val="000000"/>
          <w:kern w:val="0"/>
          <w:sz w:val="24"/>
          <w:szCs w:val="24"/>
        </w:rPr>
        <w:t>项目名称：</w:t>
      </w:r>
      <w:r w:rsidRPr="00613649">
        <w:rPr>
          <w:rFonts w:ascii="仿宋" w:eastAsia="仿宋" w:hAnsi="仿宋" w:hint="eastAsia"/>
          <w:color w:val="000000"/>
          <w:kern w:val="0"/>
          <w:sz w:val="24"/>
          <w:szCs w:val="24"/>
        </w:rPr>
        <w:t>肺癌潜在靶点的研究转化与微创诊治技术的创新及应用示范</w:t>
      </w:r>
    </w:p>
    <w:p w14:paraId="2F89DDE9" w14:textId="0F8CAB3D" w:rsidR="00816C34" w:rsidRPr="00613649" w:rsidRDefault="00816C34" w:rsidP="00816C34">
      <w:pPr>
        <w:adjustRightInd w:val="0"/>
        <w:snapToGrid w:val="0"/>
        <w:spacing w:line="500" w:lineRule="exact"/>
        <w:rPr>
          <w:rFonts w:ascii="仿宋" w:eastAsia="仿宋" w:hAnsi="仿宋"/>
          <w:color w:val="000000"/>
          <w:kern w:val="0"/>
          <w:sz w:val="24"/>
          <w:szCs w:val="24"/>
        </w:rPr>
      </w:pPr>
      <w:r w:rsidRPr="00613649">
        <w:rPr>
          <w:rFonts w:ascii="仿宋" w:eastAsia="仿宋" w:hAnsi="仿宋" w:hint="eastAsia"/>
          <w:b/>
          <w:bCs/>
          <w:color w:val="000000"/>
          <w:kern w:val="0"/>
          <w:sz w:val="24"/>
          <w:szCs w:val="24"/>
        </w:rPr>
        <w:t>2、申报奖项类别：</w:t>
      </w:r>
      <w:r w:rsidRPr="00613649">
        <w:rPr>
          <w:rFonts w:ascii="仿宋" w:eastAsia="仿宋" w:hAnsi="仿宋" w:hint="eastAsia"/>
          <w:color w:val="000000"/>
          <w:kern w:val="0"/>
          <w:sz w:val="24"/>
          <w:szCs w:val="24"/>
        </w:rPr>
        <w:t>科学技术</w:t>
      </w:r>
      <w:r w:rsidR="001C7B2D">
        <w:rPr>
          <w:rFonts w:ascii="仿宋" w:eastAsia="仿宋" w:hAnsi="仿宋" w:hint="eastAsia"/>
          <w:color w:val="000000"/>
          <w:kern w:val="0"/>
          <w:sz w:val="24"/>
          <w:szCs w:val="24"/>
        </w:rPr>
        <w:t>进步</w:t>
      </w:r>
      <w:bookmarkStart w:id="0" w:name="_GoBack"/>
      <w:bookmarkEnd w:id="0"/>
      <w:r w:rsidRPr="00613649">
        <w:rPr>
          <w:rFonts w:ascii="仿宋" w:eastAsia="仿宋" w:hAnsi="仿宋" w:hint="eastAsia"/>
          <w:color w:val="000000"/>
          <w:kern w:val="0"/>
          <w:sz w:val="24"/>
          <w:szCs w:val="24"/>
        </w:rPr>
        <w:t>奖</w:t>
      </w:r>
    </w:p>
    <w:p w14:paraId="57130F35" w14:textId="20A305A4" w:rsidR="00816C34" w:rsidRPr="00613649" w:rsidRDefault="00816C34" w:rsidP="00816C34">
      <w:pPr>
        <w:adjustRightInd w:val="0"/>
        <w:snapToGrid w:val="0"/>
        <w:spacing w:line="500" w:lineRule="exact"/>
        <w:rPr>
          <w:rFonts w:ascii="仿宋" w:eastAsia="仿宋" w:hAnsi="仿宋"/>
          <w:color w:val="000000"/>
          <w:kern w:val="0"/>
          <w:sz w:val="24"/>
          <w:szCs w:val="24"/>
        </w:rPr>
      </w:pPr>
      <w:r w:rsidRPr="00613649">
        <w:rPr>
          <w:rFonts w:ascii="仿宋" w:eastAsia="仿宋" w:hAnsi="仿宋"/>
          <w:b/>
          <w:bCs/>
          <w:color w:val="000000"/>
          <w:kern w:val="0"/>
          <w:sz w:val="24"/>
          <w:szCs w:val="24"/>
        </w:rPr>
        <w:t>3</w:t>
      </w:r>
      <w:r w:rsidRPr="00613649">
        <w:rPr>
          <w:rFonts w:ascii="仿宋" w:eastAsia="仿宋" w:hAnsi="仿宋" w:hint="eastAsia"/>
          <w:b/>
          <w:bCs/>
          <w:color w:val="000000"/>
          <w:kern w:val="0"/>
          <w:sz w:val="24"/>
          <w:szCs w:val="24"/>
        </w:rPr>
        <w:t>、主要</w:t>
      </w:r>
      <w:r w:rsidRPr="00613649">
        <w:rPr>
          <w:rFonts w:ascii="仿宋" w:eastAsia="仿宋" w:hAnsi="仿宋"/>
          <w:b/>
          <w:bCs/>
          <w:color w:val="000000"/>
          <w:kern w:val="0"/>
          <w:sz w:val="24"/>
          <w:szCs w:val="24"/>
        </w:rPr>
        <w:t>完成单位（含排序）：</w:t>
      </w:r>
      <w:r w:rsidR="00F6369C">
        <w:rPr>
          <w:rFonts w:ascii="仿宋" w:eastAsia="仿宋" w:hAnsi="仿宋" w:hint="eastAsia"/>
          <w:color w:val="000000"/>
          <w:kern w:val="0"/>
          <w:sz w:val="24"/>
          <w:szCs w:val="24"/>
        </w:rPr>
        <w:t>浙江大学</w:t>
      </w:r>
    </w:p>
    <w:p w14:paraId="113B3CBF" w14:textId="77777777" w:rsidR="00816C34" w:rsidRPr="00613649" w:rsidRDefault="00816C34" w:rsidP="00816C34">
      <w:pPr>
        <w:adjustRightInd w:val="0"/>
        <w:snapToGrid w:val="0"/>
        <w:spacing w:line="500" w:lineRule="exact"/>
        <w:rPr>
          <w:rFonts w:ascii="仿宋" w:eastAsia="仿宋" w:hAnsi="仿宋"/>
          <w:color w:val="000000"/>
          <w:kern w:val="0"/>
          <w:sz w:val="24"/>
          <w:szCs w:val="24"/>
        </w:rPr>
      </w:pPr>
      <w:r w:rsidRPr="00613649">
        <w:rPr>
          <w:rFonts w:ascii="仿宋" w:eastAsia="仿宋" w:hAnsi="仿宋" w:hint="eastAsia"/>
          <w:b/>
          <w:bCs/>
          <w:color w:val="000000"/>
          <w:kern w:val="0"/>
          <w:sz w:val="24"/>
          <w:szCs w:val="24"/>
        </w:rPr>
        <w:t>4、主要</w:t>
      </w:r>
      <w:r w:rsidRPr="00613649">
        <w:rPr>
          <w:rFonts w:ascii="仿宋" w:eastAsia="仿宋" w:hAnsi="仿宋"/>
          <w:b/>
          <w:bCs/>
          <w:color w:val="000000"/>
          <w:kern w:val="0"/>
          <w:sz w:val="24"/>
          <w:szCs w:val="24"/>
        </w:rPr>
        <w:t>完成人（含排序）：</w:t>
      </w:r>
      <w:r w:rsidRPr="00613649">
        <w:rPr>
          <w:rFonts w:ascii="仿宋" w:eastAsia="仿宋" w:hAnsi="仿宋" w:hint="eastAsia"/>
          <w:color w:val="000000"/>
          <w:kern w:val="0"/>
          <w:sz w:val="24"/>
          <w:szCs w:val="24"/>
        </w:rPr>
        <w:t>胡坚，夏大静，汪路明，吴一华，曹金林，徐金明，吕望，何天煜，马洪海，周振宇</w:t>
      </w:r>
    </w:p>
    <w:p w14:paraId="289632B8" w14:textId="77777777" w:rsidR="00816C34" w:rsidRPr="00613649" w:rsidRDefault="00816C34" w:rsidP="00816C34">
      <w:pPr>
        <w:adjustRightInd w:val="0"/>
        <w:snapToGrid w:val="0"/>
        <w:spacing w:line="500" w:lineRule="exact"/>
        <w:rPr>
          <w:rFonts w:ascii="仿宋" w:eastAsia="仿宋" w:hAnsi="仿宋"/>
          <w:b/>
          <w:bCs/>
          <w:color w:val="000000"/>
          <w:kern w:val="0"/>
          <w:sz w:val="24"/>
          <w:szCs w:val="24"/>
        </w:rPr>
      </w:pPr>
      <w:r w:rsidRPr="00613649">
        <w:rPr>
          <w:rFonts w:ascii="仿宋" w:eastAsia="仿宋" w:hAnsi="仿宋" w:hint="eastAsia"/>
          <w:b/>
          <w:bCs/>
          <w:color w:val="000000"/>
          <w:kern w:val="0"/>
          <w:sz w:val="24"/>
          <w:szCs w:val="24"/>
        </w:rPr>
        <w:t>5、</w:t>
      </w:r>
      <w:r w:rsidRPr="00613649">
        <w:rPr>
          <w:rFonts w:ascii="仿宋" w:eastAsia="仿宋" w:hAnsi="仿宋"/>
          <w:b/>
          <w:bCs/>
          <w:color w:val="000000"/>
          <w:kern w:val="0"/>
          <w:sz w:val="24"/>
          <w:szCs w:val="24"/>
        </w:rPr>
        <w:t>项目简介：</w:t>
      </w:r>
    </w:p>
    <w:p w14:paraId="252493B0" w14:textId="77777777" w:rsidR="00816C34" w:rsidRPr="003011A3" w:rsidRDefault="00816C34" w:rsidP="00816C34">
      <w:pPr>
        <w:adjustRightInd w:val="0"/>
        <w:snapToGrid w:val="0"/>
        <w:spacing w:line="500" w:lineRule="exact"/>
        <w:ind w:firstLineChars="200" w:firstLine="440"/>
        <w:rPr>
          <w:rFonts w:eastAsia="仿宋"/>
          <w:color w:val="000000"/>
          <w:kern w:val="0"/>
          <w:sz w:val="22"/>
          <w:szCs w:val="22"/>
        </w:rPr>
      </w:pPr>
      <w:r w:rsidRPr="003011A3">
        <w:rPr>
          <w:rFonts w:eastAsia="仿宋"/>
          <w:color w:val="000000"/>
          <w:kern w:val="0"/>
          <w:sz w:val="22"/>
          <w:szCs w:val="22"/>
        </w:rPr>
        <w:t>肺癌是严重威胁人类健康的重大疾病，随着医学发展，人类对肿瘤的认识更加深入，以往传统单一的治疗手段往往难以满足当代</w:t>
      </w:r>
      <w:r w:rsidRPr="003011A3">
        <w:rPr>
          <w:rFonts w:eastAsia="仿宋"/>
          <w:color w:val="000000"/>
          <w:kern w:val="0"/>
          <w:sz w:val="22"/>
          <w:szCs w:val="22"/>
        </w:rPr>
        <w:t>“</w:t>
      </w:r>
      <w:r w:rsidRPr="003011A3">
        <w:rPr>
          <w:rFonts w:eastAsia="仿宋"/>
          <w:color w:val="000000"/>
          <w:kern w:val="0"/>
          <w:sz w:val="22"/>
          <w:szCs w:val="22"/>
        </w:rPr>
        <w:t>精准化医疗</w:t>
      </w:r>
      <w:r w:rsidRPr="003011A3">
        <w:rPr>
          <w:rFonts w:eastAsia="仿宋"/>
          <w:color w:val="000000"/>
          <w:kern w:val="0"/>
          <w:sz w:val="22"/>
          <w:szCs w:val="22"/>
        </w:rPr>
        <w:t>”</w:t>
      </w:r>
      <w:r w:rsidRPr="003011A3">
        <w:rPr>
          <w:rFonts w:eastAsia="仿宋"/>
          <w:color w:val="000000"/>
          <w:kern w:val="0"/>
          <w:sz w:val="22"/>
          <w:szCs w:val="22"/>
        </w:rPr>
        <w:t>的要求。项目组长期致力于肺癌发生发展的机制研究，以及微创外科治疗的技术创新和推广应用，取得了以下显著创新成果：</w:t>
      </w:r>
    </w:p>
    <w:p w14:paraId="07428E6C" w14:textId="77777777" w:rsidR="00816C34" w:rsidRPr="003011A3" w:rsidRDefault="00816C34" w:rsidP="00816C34">
      <w:pPr>
        <w:adjustRightInd w:val="0"/>
        <w:snapToGrid w:val="0"/>
        <w:spacing w:line="500" w:lineRule="exact"/>
        <w:rPr>
          <w:rFonts w:eastAsia="仿宋"/>
          <w:color w:val="000000"/>
          <w:kern w:val="0"/>
          <w:sz w:val="22"/>
          <w:szCs w:val="22"/>
        </w:rPr>
      </w:pPr>
      <w:r w:rsidRPr="003011A3">
        <w:rPr>
          <w:rFonts w:eastAsia="仿宋"/>
          <w:color w:val="000000"/>
          <w:kern w:val="0"/>
          <w:sz w:val="22"/>
          <w:szCs w:val="22"/>
        </w:rPr>
        <w:t>一、揭示肺癌发生及转移新机制，为肺癌研究提供崭新靶点。项目组对一系列生活中常见的环境毒物包括苯并芘、氯氰菊酯和扑草净等诱导肺癌发生的机制展开了深入研究，为肺癌病因预付提供了理论基础，也为肺癌防治的公共卫生策略提供依据；项目组筛选出多个肺癌相关基因靶点，通过系统性实验研究探讨了其各自在肺癌发生发展过程中的生物学作用及上下游信号通路，为肺癌治疗提供了潜在靶点；项目组应用现代生物学技术，分析了包括五味子素</w:t>
      </w:r>
      <w:r w:rsidRPr="003011A3">
        <w:rPr>
          <w:rFonts w:eastAsia="仿宋"/>
          <w:color w:val="000000"/>
          <w:kern w:val="0"/>
          <w:sz w:val="22"/>
          <w:szCs w:val="22"/>
        </w:rPr>
        <w:t>A</w:t>
      </w:r>
      <w:r w:rsidRPr="003011A3">
        <w:rPr>
          <w:rFonts w:eastAsia="仿宋"/>
          <w:color w:val="000000"/>
          <w:kern w:val="0"/>
          <w:sz w:val="22"/>
          <w:szCs w:val="22"/>
        </w:rPr>
        <w:t>、山麦冬皂苷</w:t>
      </w:r>
      <w:r w:rsidRPr="003011A3">
        <w:rPr>
          <w:rFonts w:eastAsia="仿宋"/>
          <w:color w:val="000000"/>
          <w:kern w:val="0"/>
          <w:sz w:val="22"/>
          <w:szCs w:val="22"/>
        </w:rPr>
        <w:t>B</w:t>
      </w:r>
      <w:r w:rsidRPr="003011A3">
        <w:rPr>
          <w:rFonts w:eastAsia="仿宋"/>
          <w:color w:val="000000"/>
          <w:kern w:val="0"/>
          <w:sz w:val="22"/>
          <w:szCs w:val="22"/>
        </w:rPr>
        <w:t>和旱莲甙</w:t>
      </w:r>
      <w:r w:rsidRPr="003011A3">
        <w:rPr>
          <w:rFonts w:eastAsia="仿宋"/>
          <w:color w:val="000000"/>
          <w:kern w:val="0"/>
          <w:sz w:val="22"/>
          <w:szCs w:val="22"/>
        </w:rPr>
        <w:t>A</w:t>
      </w:r>
      <w:r w:rsidRPr="003011A3">
        <w:rPr>
          <w:rFonts w:eastAsia="仿宋"/>
          <w:color w:val="000000"/>
          <w:kern w:val="0"/>
          <w:sz w:val="22"/>
          <w:szCs w:val="22"/>
        </w:rPr>
        <w:t>在内的多种天然产物作用于肺癌防治的深层机制，为其在临床上开展应用提供了丰富的理论依据。</w:t>
      </w:r>
    </w:p>
    <w:p w14:paraId="1F5E83A7" w14:textId="77777777" w:rsidR="00816C34" w:rsidRPr="003011A3" w:rsidRDefault="00816C34" w:rsidP="00816C34">
      <w:pPr>
        <w:adjustRightInd w:val="0"/>
        <w:snapToGrid w:val="0"/>
        <w:spacing w:line="500" w:lineRule="exact"/>
        <w:rPr>
          <w:rFonts w:eastAsia="仿宋"/>
          <w:color w:val="000000"/>
          <w:kern w:val="0"/>
          <w:sz w:val="22"/>
          <w:szCs w:val="22"/>
        </w:rPr>
      </w:pPr>
      <w:r w:rsidRPr="003011A3">
        <w:rPr>
          <w:rFonts w:eastAsia="仿宋"/>
          <w:color w:val="000000"/>
          <w:kern w:val="0"/>
          <w:sz w:val="22"/>
          <w:szCs w:val="22"/>
        </w:rPr>
        <w:t>二、联合多种数据来源，建立肺癌相关预测模型，开展多维度下的诊断与预后预测。项目组基于真实临床数据，根据患者的影像学、血清学和病理学等特征建立肺癌诊断预测模型，提高肺结节诊断和肺癌临床分期准确率；项目组结合大样本数据库和生物学实验，筛选出一系列与肺癌预后相关的生物标志物，并以此建立了能精准预测肺癌预后的预测模型，为临床应用提供了崭新思路。项目组建立的多种预测模型对肺癌患者的精准治疗和个体化管理在多个维度上提供了有力的循证医学支持，是肺癌研究转化过程中的重要科技创新。</w:t>
      </w:r>
    </w:p>
    <w:p w14:paraId="07ED5CE9" w14:textId="77777777" w:rsidR="00816C34" w:rsidRPr="003011A3" w:rsidRDefault="00816C34" w:rsidP="00816C34">
      <w:pPr>
        <w:adjustRightInd w:val="0"/>
        <w:snapToGrid w:val="0"/>
        <w:spacing w:line="500" w:lineRule="exact"/>
        <w:rPr>
          <w:rFonts w:eastAsia="仿宋"/>
          <w:color w:val="000000"/>
          <w:kern w:val="0"/>
          <w:sz w:val="22"/>
          <w:szCs w:val="22"/>
        </w:rPr>
      </w:pPr>
      <w:r w:rsidRPr="003011A3">
        <w:rPr>
          <w:rFonts w:eastAsia="仿宋"/>
          <w:color w:val="000000"/>
          <w:kern w:val="0"/>
          <w:sz w:val="22"/>
          <w:szCs w:val="22"/>
        </w:rPr>
        <w:t>三、建立介入诊疗</w:t>
      </w:r>
      <w:r w:rsidRPr="003011A3">
        <w:rPr>
          <w:rFonts w:eastAsia="仿宋"/>
          <w:color w:val="000000"/>
          <w:kern w:val="0"/>
          <w:sz w:val="22"/>
          <w:szCs w:val="22"/>
        </w:rPr>
        <w:t>+</w:t>
      </w:r>
      <w:r w:rsidRPr="003011A3">
        <w:rPr>
          <w:rFonts w:eastAsia="仿宋"/>
          <w:color w:val="000000"/>
          <w:kern w:val="0"/>
          <w:sz w:val="22"/>
          <w:szCs w:val="22"/>
        </w:rPr>
        <w:t>微创手术</w:t>
      </w:r>
      <w:r w:rsidRPr="003011A3">
        <w:rPr>
          <w:rFonts w:eastAsia="仿宋"/>
          <w:color w:val="000000"/>
          <w:kern w:val="0"/>
          <w:sz w:val="22"/>
          <w:szCs w:val="22"/>
        </w:rPr>
        <w:t>+</w:t>
      </w:r>
      <w:r w:rsidRPr="003011A3">
        <w:rPr>
          <w:rFonts w:eastAsia="仿宋"/>
          <w:color w:val="000000"/>
          <w:kern w:val="0"/>
          <w:sz w:val="22"/>
          <w:szCs w:val="22"/>
        </w:rPr>
        <w:t>术后快速康复（</w:t>
      </w:r>
      <w:r w:rsidRPr="003011A3">
        <w:rPr>
          <w:rFonts w:eastAsia="仿宋"/>
          <w:color w:val="000000"/>
          <w:kern w:val="0"/>
          <w:sz w:val="22"/>
          <w:szCs w:val="22"/>
        </w:rPr>
        <w:t>ERAS</w:t>
      </w:r>
      <w:r w:rsidRPr="003011A3">
        <w:rPr>
          <w:rFonts w:eastAsia="仿宋"/>
          <w:color w:val="000000"/>
          <w:kern w:val="0"/>
          <w:sz w:val="22"/>
          <w:szCs w:val="22"/>
        </w:rPr>
        <w:t>）三位一体的一站式新型肺癌诊疗平台。在介入诊断技术方面，项目组率先开展</w:t>
      </w:r>
      <w:r w:rsidRPr="003011A3">
        <w:rPr>
          <w:rFonts w:eastAsia="仿宋"/>
          <w:color w:val="000000"/>
          <w:kern w:val="0"/>
          <w:sz w:val="22"/>
          <w:szCs w:val="22"/>
        </w:rPr>
        <w:t>EBUS-TBNA</w:t>
      </w:r>
      <w:r w:rsidRPr="003011A3">
        <w:rPr>
          <w:rFonts w:eastAsia="仿宋"/>
          <w:color w:val="000000"/>
          <w:kern w:val="0"/>
          <w:sz w:val="22"/>
          <w:szCs w:val="22"/>
        </w:rPr>
        <w:t>微创活检技术和电磁导航支</w:t>
      </w:r>
      <w:r w:rsidRPr="003011A3">
        <w:rPr>
          <w:rFonts w:eastAsia="仿宋"/>
          <w:color w:val="000000"/>
          <w:kern w:val="0"/>
          <w:sz w:val="22"/>
          <w:szCs w:val="22"/>
        </w:rPr>
        <w:lastRenderedPageBreak/>
        <w:t>气管镜技术，实现经自然腔道获取病理组织和术中病灶精准定位。在介入治疗技术方面，项目组同时掌握微波、射频消融、粒子植入、单向活瓣、支架等多种介入治疗技术，创新性地实现介入与微创技术的深度融合。在微创手术方面，项目组建立三孔、单操作孔、单孔、针镜辅助切口等多种微创手术切口模式，并首创柔性内窥镜应用于单孔胸腔镜肺癌根治术，且介入诊疗技术和腔镜手术均基于内窥镜临床效果评价体系下的标准化应用场景。此外，项目组建立完善的机器人辅助肺癌手术规范，并开展如机器人辅助支气管袖状切除术等多项高难度手术，拓展了机器人在肺癌外科治疗中的应用范围，机器人手术量全国领先，实现肺癌微创治疗新突破。在</w:t>
      </w:r>
      <w:r w:rsidRPr="003011A3">
        <w:rPr>
          <w:rFonts w:eastAsia="仿宋"/>
          <w:color w:val="000000"/>
          <w:kern w:val="0"/>
          <w:sz w:val="22"/>
          <w:szCs w:val="22"/>
        </w:rPr>
        <w:t>ERAS</w:t>
      </w:r>
      <w:r w:rsidRPr="003011A3">
        <w:rPr>
          <w:rFonts w:eastAsia="仿宋"/>
          <w:color w:val="000000"/>
          <w:kern w:val="0"/>
          <w:sz w:val="22"/>
          <w:szCs w:val="22"/>
        </w:rPr>
        <w:t>方面，项目组以气道管理为核心，涵盖管道管理、无痛病房、营养管理、血栓管理、液体管理、咳嗽管理、心理康复和运动康复等九大环节，通过术前、术中和术后一系列有循证医学证据的优化措施减少并发症、减轻疼痛、缩短住院时间等，并最终实现</w:t>
      </w:r>
      <w:r w:rsidRPr="003011A3">
        <w:rPr>
          <w:rFonts w:eastAsia="仿宋"/>
          <w:color w:val="000000"/>
          <w:kern w:val="0"/>
          <w:sz w:val="22"/>
          <w:szCs w:val="22"/>
        </w:rPr>
        <w:t>“</w:t>
      </w:r>
      <w:r w:rsidRPr="003011A3">
        <w:rPr>
          <w:rFonts w:eastAsia="仿宋"/>
          <w:color w:val="000000"/>
          <w:kern w:val="0"/>
          <w:sz w:val="22"/>
          <w:szCs w:val="22"/>
        </w:rPr>
        <w:t>诊断、定位、外科切除、快速康复</w:t>
      </w:r>
      <w:r w:rsidRPr="003011A3">
        <w:rPr>
          <w:rFonts w:eastAsia="仿宋"/>
          <w:color w:val="000000"/>
          <w:kern w:val="0"/>
          <w:sz w:val="22"/>
          <w:szCs w:val="22"/>
        </w:rPr>
        <w:t>”</w:t>
      </w:r>
      <w:r w:rsidRPr="003011A3">
        <w:rPr>
          <w:rFonts w:eastAsia="仿宋"/>
          <w:color w:val="000000"/>
          <w:kern w:val="0"/>
          <w:sz w:val="22"/>
          <w:szCs w:val="22"/>
        </w:rPr>
        <w:t>一体化诊疗新模式。</w:t>
      </w:r>
    </w:p>
    <w:p w14:paraId="381215CF" w14:textId="77777777" w:rsidR="00816C34" w:rsidRPr="00613649" w:rsidRDefault="00816C34" w:rsidP="00816C34">
      <w:pPr>
        <w:adjustRightInd w:val="0"/>
        <w:snapToGrid w:val="0"/>
        <w:spacing w:line="500" w:lineRule="exact"/>
        <w:rPr>
          <w:rFonts w:ascii="仿宋" w:eastAsia="仿宋" w:hAnsi="仿宋"/>
          <w:b/>
          <w:bCs/>
          <w:color w:val="000000"/>
          <w:kern w:val="0"/>
          <w:sz w:val="24"/>
          <w:szCs w:val="24"/>
        </w:rPr>
      </w:pPr>
      <w:r w:rsidRPr="00613649">
        <w:rPr>
          <w:rFonts w:ascii="仿宋" w:eastAsia="仿宋" w:hAnsi="仿宋" w:hint="eastAsia"/>
          <w:b/>
          <w:bCs/>
          <w:color w:val="000000"/>
          <w:kern w:val="0"/>
          <w:sz w:val="24"/>
          <w:szCs w:val="24"/>
        </w:rPr>
        <w:t>6、代表性论文（专著）列表：</w:t>
      </w:r>
    </w:p>
    <w:p w14:paraId="28DB84C3" w14:textId="097991F2" w:rsidR="00816C34" w:rsidRPr="00F6369C" w:rsidRDefault="00816C34" w:rsidP="00816C34">
      <w:pPr>
        <w:rPr>
          <w:rFonts w:eastAsia="仿宋"/>
          <w:color w:val="212121"/>
          <w:sz w:val="20"/>
          <w:shd w:val="clear" w:color="auto" w:fill="FFFFFF"/>
        </w:rPr>
      </w:pPr>
      <w:r w:rsidRPr="00F6369C">
        <w:rPr>
          <w:rFonts w:eastAsia="仿宋"/>
          <w:color w:val="212121"/>
          <w:sz w:val="20"/>
          <w:shd w:val="clear" w:color="auto" w:fill="FFFFFF"/>
        </w:rPr>
        <w:t>1</w:t>
      </w:r>
      <w:r w:rsidRPr="00F6369C">
        <w:rPr>
          <w:rFonts w:eastAsia="仿宋"/>
          <w:color w:val="212121"/>
          <w:sz w:val="20"/>
          <w:shd w:val="clear" w:color="auto" w:fill="FFFFFF"/>
        </w:rPr>
        <w:t>、</w:t>
      </w:r>
      <w:r w:rsidRPr="00F6369C">
        <w:rPr>
          <w:rFonts w:eastAsia="仿宋"/>
          <w:color w:val="212121"/>
          <w:sz w:val="20"/>
          <w:shd w:val="clear" w:color="auto" w:fill="FFFFFF"/>
        </w:rPr>
        <w:t>Wu Y, Niu Y, Leng J, Xu J, Chen H, Li H, Wang L, Hu J, </w:t>
      </w:r>
      <w:r w:rsidRPr="00F6369C">
        <w:rPr>
          <w:rFonts w:eastAsia="仿宋"/>
          <w:b/>
          <w:bCs/>
          <w:color w:val="212121"/>
          <w:sz w:val="20"/>
          <w:shd w:val="clear" w:color="auto" w:fill="FFFFFF"/>
        </w:rPr>
        <w:t>Xia D</w:t>
      </w:r>
      <w:r w:rsidR="003011A3" w:rsidRPr="00F6369C">
        <w:rPr>
          <w:rFonts w:eastAsia="仿宋"/>
          <w:sz w:val="20"/>
        </w:rPr>
        <w:t>*</w:t>
      </w:r>
      <w:r w:rsidRPr="00F6369C">
        <w:rPr>
          <w:rFonts w:eastAsia="仿宋"/>
          <w:color w:val="212121"/>
          <w:sz w:val="20"/>
          <w:shd w:val="clear" w:color="auto" w:fill="FFFFFF"/>
        </w:rPr>
        <w:t xml:space="preserve">, </w:t>
      </w:r>
      <w:r w:rsidRPr="00F6369C">
        <w:rPr>
          <w:rFonts w:eastAsia="仿宋"/>
          <w:b/>
          <w:bCs/>
          <w:color w:val="212121"/>
          <w:sz w:val="20"/>
          <w:shd w:val="clear" w:color="auto" w:fill="FFFFFF"/>
        </w:rPr>
        <w:t>Wu Y</w:t>
      </w:r>
      <w:r w:rsidR="003011A3" w:rsidRPr="00F6369C">
        <w:rPr>
          <w:rFonts w:eastAsia="仿宋"/>
          <w:sz w:val="20"/>
        </w:rPr>
        <w:t>*</w:t>
      </w:r>
      <w:r w:rsidRPr="00F6369C">
        <w:rPr>
          <w:rFonts w:eastAsia="仿宋"/>
          <w:color w:val="212121"/>
          <w:sz w:val="20"/>
          <w:shd w:val="clear" w:color="auto" w:fill="FFFFFF"/>
        </w:rPr>
        <w:t xml:space="preserve">. </w:t>
      </w:r>
      <w:r w:rsidRPr="00F6369C">
        <w:rPr>
          <w:rFonts w:eastAsia="仿宋"/>
          <w:sz w:val="20"/>
          <w:shd w:val="clear" w:color="auto" w:fill="FFFFFF"/>
        </w:rPr>
        <w:t xml:space="preserve">Benzo(a)pyrene regulated A549 cell migration, invasion and epithelial-mesenchymal transition by up-regulating long </w:t>
      </w:r>
      <w:r w:rsidRPr="00F6369C">
        <w:rPr>
          <w:rFonts w:eastAsia="仿宋"/>
          <w:color w:val="212121"/>
          <w:sz w:val="20"/>
          <w:shd w:val="clear" w:color="auto" w:fill="FFFFFF"/>
        </w:rPr>
        <w:t>non-coding RNA linc00673. Toxicol Lett. 2020 Mar 1;320:37-45.</w:t>
      </w:r>
    </w:p>
    <w:p w14:paraId="0880E929" w14:textId="34D9C166" w:rsidR="00816C34" w:rsidRPr="00F6369C" w:rsidRDefault="00816C34" w:rsidP="00816C34">
      <w:pPr>
        <w:rPr>
          <w:rFonts w:eastAsia="仿宋"/>
          <w:color w:val="212121"/>
          <w:sz w:val="20"/>
          <w:shd w:val="clear" w:color="auto" w:fill="FFFFFF"/>
        </w:rPr>
      </w:pPr>
      <w:r w:rsidRPr="00F6369C">
        <w:rPr>
          <w:rFonts w:eastAsia="仿宋"/>
          <w:color w:val="212121"/>
          <w:sz w:val="20"/>
          <w:shd w:val="clear" w:color="auto" w:fill="FFFFFF"/>
        </w:rPr>
        <w:t>2</w:t>
      </w:r>
      <w:r w:rsidRPr="00F6369C">
        <w:rPr>
          <w:rFonts w:eastAsia="仿宋"/>
          <w:color w:val="212121"/>
          <w:sz w:val="20"/>
          <w:shd w:val="clear" w:color="auto" w:fill="FFFFFF"/>
        </w:rPr>
        <w:t>、</w:t>
      </w:r>
      <w:r w:rsidRPr="00F6369C">
        <w:rPr>
          <w:rFonts w:eastAsia="仿宋"/>
          <w:color w:val="212121"/>
          <w:sz w:val="20"/>
          <w:shd w:val="clear" w:color="auto" w:fill="FFFFFF"/>
        </w:rPr>
        <w:t xml:space="preserve">Liu Q, Wang L, Chen H, Huang B, Xu J, Li Y, Heroux P, Zhu X, </w:t>
      </w:r>
      <w:r w:rsidRPr="003011A3">
        <w:rPr>
          <w:rFonts w:eastAsia="仿宋"/>
          <w:b/>
          <w:bCs/>
          <w:color w:val="212121"/>
          <w:sz w:val="20"/>
          <w:shd w:val="clear" w:color="auto" w:fill="FFFFFF"/>
        </w:rPr>
        <w:t>Wu Y</w:t>
      </w:r>
      <w:r w:rsidR="003011A3" w:rsidRPr="00F6369C">
        <w:rPr>
          <w:rFonts w:eastAsia="仿宋"/>
          <w:sz w:val="20"/>
        </w:rPr>
        <w:t>*</w:t>
      </w:r>
      <w:r w:rsidRPr="00F6369C">
        <w:rPr>
          <w:rFonts w:eastAsia="仿宋"/>
          <w:color w:val="212121"/>
          <w:sz w:val="20"/>
          <w:shd w:val="clear" w:color="auto" w:fill="FFFFFF"/>
        </w:rPr>
        <w:t xml:space="preserve">, </w:t>
      </w:r>
      <w:r w:rsidRPr="00F6369C">
        <w:rPr>
          <w:rFonts w:eastAsia="仿宋"/>
          <w:b/>
          <w:bCs/>
          <w:color w:val="212121"/>
          <w:sz w:val="20"/>
          <w:shd w:val="clear" w:color="auto" w:fill="FFFFFF"/>
        </w:rPr>
        <w:t>Xia D</w:t>
      </w:r>
      <w:r w:rsidRPr="00F6369C">
        <w:rPr>
          <w:rFonts w:eastAsia="仿宋"/>
          <w:sz w:val="20"/>
        </w:rPr>
        <w:t>*</w:t>
      </w:r>
      <w:r w:rsidRPr="00F6369C">
        <w:rPr>
          <w:rFonts w:eastAsia="仿宋"/>
          <w:color w:val="212121"/>
          <w:sz w:val="20"/>
          <w:shd w:val="clear" w:color="auto" w:fill="FFFFFF"/>
        </w:rPr>
        <w:t>.Prometryn induces apoptotic cell death through cell cycle arrest and oxidative DNA damage. Toxicol Res (Camb)</w:t>
      </w:r>
      <w:r w:rsidR="003011A3">
        <w:rPr>
          <w:rFonts w:eastAsia="仿宋"/>
          <w:color w:val="212121"/>
          <w:sz w:val="20"/>
          <w:shd w:val="clear" w:color="auto" w:fill="FFFFFF"/>
        </w:rPr>
        <w:t>.</w:t>
      </w:r>
      <w:r w:rsidRPr="00F6369C">
        <w:rPr>
          <w:rFonts w:eastAsia="仿宋"/>
          <w:color w:val="212121"/>
          <w:sz w:val="20"/>
          <w:shd w:val="clear" w:color="auto" w:fill="FFFFFF"/>
        </w:rPr>
        <w:t xml:space="preserve"> </w:t>
      </w:r>
      <w:r w:rsidR="00F6369C" w:rsidRPr="00F6369C">
        <w:rPr>
          <w:rFonts w:eastAsia="仿宋"/>
          <w:color w:val="212121"/>
          <w:sz w:val="20"/>
          <w:shd w:val="clear" w:color="auto" w:fill="FFFFFF"/>
        </w:rPr>
        <w:t>2019 Jul 26;8(6)</w:t>
      </w:r>
      <w:r w:rsidRPr="00F6369C">
        <w:rPr>
          <w:rFonts w:eastAsia="仿宋"/>
          <w:color w:val="212121"/>
          <w:sz w:val="20"/>
          <w:shd w:val="clear" w:color="auto" w:fill="FFFFFF"/>
        </w:rPr>
        <w:t>: 833-841.</w:t>
      </w:r>
    </w:p>
    <w:p w14:paraId="547D85D6" w14:textId="55624250" w:rsidR="00816C34" w:rsidRPr="00F6369C" w:rsidRDefault="00816C34" w:rsidP="00816C34">
      <w:pPr>
        <w:rPr>
          <w:rFonts w:eastAsia="仿宋"/>
          <w:color w:val="212121"/>
          <w:sz w:val="20"/>
          <w:shd w:val="clear" w:color="auto" w:fill="FFFFFF"/>
        </w:rPr>
      </w:pPr>
      <w:r w:rsidRPr="00F6369C">
        <w:rPr>
          <w:rFonts w:eastAsia="仿宋"/>
          <w:color w:val="212121"/>
          <w:sz w:val="20"/>
          <w:shd w:val="clear" w:color="auto" w:fill="FFFFFF"/>
        </w:rPr>
        <w:t>3</w:t>
      </w:r>
      <w:r w:rsidRPr="00F6369C">
        <w:rPr>
          <w:rFonts w:eastAsia="仿宋"/>
          <w:color w:val="212121"/>
          <w:sz w:val="20"/>
          <w:shd w:val="clear" w:color="auto" w:fill="FFFFFF"/>
        </w:rPr>
        <w:t>、</w:t>
      </w:r>
      <w:r w:rsidRPr="00F6369C">
        <w:rPr>
          <w:rFonts w:eastAsia="仿宋"/>
          <w:color w:val="212121"/>
          <w:sz w:val="20"/>
          <w:shd w:val="clear" w:color="auto" w:fill="FFFFFF"/>
        </w:rPr>
        <w:t xml:space="preserve">Huang F, Chen Z, Chen H, Lu W, Xie S, Meng QH, </w:t>
      </w:r>
      <w:r w:rsidR="003011A3" w:rsidRPr="003011A3">
        <w:rPr>
          <w:rFonts w:eastAsia="仿宋"/>
          <w:b/>
          <w:bCs/>
          <w:color w:val="212121"/>
          <w:sz w:val="20"/>
          <w:shd w:val="clear" w:color="auto" w:fill="FFFFFF"/>
        </w:rPr>
        <w:t>Wu Y</w:t>
      </w:r>
      <w:r w:rsidR="003011A3" w:rsidRPr="00F6369C">
        <w:rPr>
          <w:rFonts w:eastAsia="仿宋"/>
          <w:sz w:val="20"/>
        </w:rPr>
        <w:t>*</w:t>
      </w:r>
      <w:r w:rsidRPr="00F6369C">
        <w:rPr>
          <w:rFonts w:eastAsia="仿宋"/>
          <w:color w:val="212121"/>
          <w:sz w:val="20"/>
          <w:shd w:val="clear" w:color="auto" w:fill="FFFFFF"/>
        </w:rPr>
        <w:t>, </w:t>
      </w:r>
      <w:r w:rsidRPr="00F6369C">
        <w:rPr>
          <w:rFonts w:eastAsia="仿宋"/>
          <w:b/>
          <w:bCs/>
          <w:color w:val="212121"/>
          <w:sz w:val="20"/>
          <w:shd w:val="clear" w:color="auto" w:fill="FFFFFF"/>
        </w:rPr>
        <w:t>Xia D</w:t>
      </w:r>
      <w:r w:rsidRPr="00F6369C">
        <w:rPr>
          <w:rFonts w:eastAsia="仿宋"/>
          <w:sz w:val="20"/>
        </w:rPr>
        <w:t>*</w:t>
      </w:r>
      <w:r w:rsidRPr="00F6369C">
        <w:rPr>
          <w:rFonts w:eastAsia="仿宋"/>
          <w:b/>
          <w:bCs/>
          <w:color w:val="212121"/>
          <w:sz w:val="20"/>
          <w:shd w:val="clear" w:color="auto" w:fill="FFFFFF"/>
        </w:rPr>
        <w:t>.</w:t>
      </w:r>
      <w:r w:rsidRPr="00F6369C">
        <w:rPr>
          <w:rFonts w:eastAsia="仿宋"/>
          <w:sz w:val="20"/>
        </w:rPr>
        <w:t xml:space="preserve"> </w:t>
      </w:r>
      <w:bookmarkStart w:id="1" w:name="OLE_LINK1"/>
      <w:r w:rsidRPr="00F6369C">
        <w:rPr>
          <w:rFonts w:eastAsia="仿宋"/>
          <w:sz w:val="20"/>
          <w:shd w:val="clear" w:color="auto" w:fill="FFFFFF"/>
        </w:rPr>
        <w:t>Cypermethrin Promotes Lung Cancer Metastasis via Modulation of Macrophage Polarization by Targeting MicroRNA-</w:t>
      </w:r>
      <w:r w:rsidRPr="00F6369C">
        <w:rPr>
          <w:rFonts w:eastAsia="仿宋"/>
          <w:color w:val="212121"/>
          <w:sz w:val="20"/>
          <w:shd w:val="clear" w:color="auto" w:fill="FFFFFF"/>
        </w:rPr>
        <w:t>155/Bcl6</w:t>
      </w:r>
      <w:bookmarkEnd w:id="1"/>
      <w:r w:rsidRPr="00F6369C">
        <w:rPr>
          <w:rFonts w:eastAsia="仿宋"/>
          <w:color w:val="212121"/>
          <w:sz w:val="20"/>
          <w:shd w:val="clear" w:color="auto" w:fill="FFFFFF"/>
        </w:rPr>
        <w:t>. Toxicol Sci. 2018 Jun 1;163(2):454-465. </w:t>
      </w:r>
    </w:p>
    <w:p w14:paraId="6E844891" w14:textId="1537A2AE" w:rsidR="00816C34" w:rsidRPr="00F6369C" w:rsidRDefault="00816C34" w:rsidP="00816C34">
      <w:pPr>
        <w:rPr>
          <w:rFonts w:eastAsia="仿宋"/>
          <w:sz w:val="20"/>
          <w:shd w:val="clear" w:color="auto" w:fill="FFFFFF"/>
        </w:rPr>
      </w:pPr>
      <w:r w:rsidRPr="00F6369C">
        <w:rPr>
          <w:rFonts w:eastAsia="仿宋"/>
          <w:sz w:val="20"/>
          <w:shd w:val="clear" w:color="auto" w:fill="FFFFFF"/>
        </w:rPr>
        <w:t>4</w:t>
      </w:r>
      <w:r w:rsidRPr="00F6369C">
        <w:rPr>
          <w:rFonts w:eastAsia="仿宋"/>
          <w:sz w:val="20"/>
          <w:shd w:val="clear" w:color="auto" w:fill="FFFFFF"/>
        </w:rPr>
        <w:t>、</w:t>
      </w:r>
      <w:r w:rsidRPr="00F6369C">
        <w:rPr>
          <w:rFonts w:eastAsia="仿宋"/>
          <w:sz w:val="20"/>
          <w:shd w:val="clear" w:color="auto" w:fill="FFFFFF"/>
        </w:rPr>
        <w:t>Lu W, Zhang H, Niu Y, Wu Y, Sun W, Li H, Kong J, Ding K, Shen HM, Wu H, </w:t>
      </w:r>
      <w:r w:rsidR="003011A3" w:rsidRPr="00F6369C">
        <w:rPr>
          <w:rFonts w:eastAsia="仿宋"/>
          <w:b/>
          <w:bCs/>
          <w:color w:val="212121"/>
          <w:sz w:val="20"/>
          <w:shd w:val="clear" w:color="auto" w:fill="FFFFFF"/>
        </w:rPr>
        <w:t>Xia D</w:t>
      </w:r>
      <w:r w:rsidR="003011A3" w:rsidRPr="00F6369C">
        <w:rPr>
          <w:rFonts w:eastAsia="仿宋"/>
          <w:sz w:val="20"/>
        </w:rPr>
        <w:t>*</w:t>
      </w:r>
      <w:r w:rsidRPr="00F6369C">
        <w:rPr>
          <w:rFonts w:eastAsia="仿宋"/>
          <w:sz w:val="20"/>
          <w:shd w:val="clear" w:color="auto" w:fill="FFFFFF"/>
        </w:rPr>
        <w:t xml:space="preserve">, </w:t>
      </w:r>
      <w:r w:rsidR="003011A3" w:rsidRPr="003011A3">
        <w:rPr>
          <w:rFonts w:eastAsia="仿宋"/>
          <w:b/>
          <w:bCs/>
          <w:color w:val="212121"/>
          <w:sz w:val="20"/>
          <w:shd w:val="clear" w:color="auto" w:fill="FFFFFF"/>
        </w:rPr>
        <w:t>Wu Y</w:t>
      </w:r>
      <w:r w:rsidR="003011A3" w:rsidRPr="00F6369C">
        <w:rPr>
          <w:rFonts w:eastAsia="仿宋"/>
          <w:sz w:val="20"/>
        </w:rPr>
        <w:t>*</w:t>
      </w:r>
      <w:r w:rsidRPr="00F6369C">
        <w:rPr>
          <w:rFonts w:eastAsia="仿宋"/>
          <w:sz w:val="20"/>
          <w:shd w:val="clear" w:color="auto" w:fill="FFFFFF"/>
        </w:rPr>
        <w:t>. Long non-coding RNA linc00673 regulated non-small cell lung cancer proliferation, migration, invasion and epithelial mesenchymal transition by sponging miR-150-5p. Mol Cancer. 2017 Jul 11;16(1):118.</w:t>
      </w:r>
    </w:p>
    <w:p w14:paraId="63E0DD1B" w14:textId="77777777" w:rsidR="00816C34" w:rsidRPr="00F6369C" w:rsidRDefault="00816C34" w:rsidP="00816C34">
      <w:pPr>
        <w:rPr>
          <w:rFonts w:eastAsia="仿宋"/>
          <w:sz w:val="20"/>
        </w:rPr>
      </w:pPr>
      <w:r w:rsidRPr="00F6369C">
        <w:rPr>
          <w:rFonts w:eastAsia="仿宋"/>
          <w:sz w:val="20"/>
        </w:rPr>
        <w:t>5.</w:t>
      </w:r>
      <w:r w:rsidRPr="00F6369C">
        <w:rPr>
          <w:rFonts w:eastAsia="仿宋"/>
          <w:b/>
          <w:bCs/>
          <w:sz w:val="20"/>
        </w:rPr>
        <w:t xml:space="preserve"> </w:t>
      </w:r>
      <w:r w:rsidRPr="00F6369C">
        <w:rPr>
          <w:rFonts w:eastAsia="仿宋"/>
          <w:sz w:val="20"/>
        </w:rPr>
        <w:t>Huang S, He T, Yang S, Sheng H, Tang X, Bao F, Wang Y, Lin X, Yu W, Cheng F, Lv W, </w:t>
      </w:r>
      <w:r w:rsidRPr="00F6369C">
        <w:rPr>
          <w:rFonts w:eastAsia="仿宋"/>
          <w:b/>
          <w:bCs/>
          <w:sz w:val="20"/>
        </w:rPr>
        <w:t>Hu J</w:t>
      </w:r>
      <w:r w:rsidRPr="00F6369C">
        <w:rPr>
          <w:rFonts w:eastAsia="仿宋"/>
          <w:sz w:val="20"/>
        </w:rPr>
        <w:t>*. Metformin reverses chemoresistance in non-small cell lung cancer via accelerating ubiquitination-mediated degradation of Nrf2. Transl Lung Cancer Res. 2020 Dec;9(6):2337-2355. </w:t>
      </w:r>
    </w:p>
    <w:p w14:paraId="448F4D85" w14:textId="77777777" w:rsidR="00816C34" w:rsidRPr="00F6369C" w:rsidRDefault="00816C34" w:rsidP="00816C34">
      <w:pPr>
        <w:rPr>
          <w:rFonts w:eastAsia="仿宋"/>
          <w:sz w:val="20"/>
        </w:rPr>
      </w:pPr>
      <w:r w:rsidRPr="00F6369C">
        <w:rPr>
          <w:rFonts w:eastAsia="仿宋"/>
          <w:bCs/>
          <w:sz w:val="20"/>
        </w:rPr>
        <w:t xml:space="preserve">6. </w:t>
      </w:r>
      <w:r w:rsidRPr="00F6369C">
        <w:rPr>
          <w:rFonts w:eastAsia="仿宋"/>
          <w:sz w:val="20"/>
        </w:rPr>
        <w:t xml:space="preserve">Cao L, Yuan X, Bao F, Lv W, He Z, Tang J, Han J, </w:t>
      </w:r>
      <w:r w:rsidRPr="00F6369C">
        <w:rPr>
          <w:rFonts w:eastAsia="仿宋"/>
          <w:b/>
          <w:sz w:val="20"/>
        </w:rPr>
        <w:t>Hu J</w:t>
      </w:r>
      <w:r w:rsidRPr="00F6369C">
        <w:rPr>
          <w:rFonts w:eastAsia="仿宋"/>
          <w:sz w:val="20"/>
        </w:rPr>
        <w:t>*. Downregulation of HSPA2 inhibits proliferation via ERK1/2 pathway and endoplasmic reticular stress in lung adenocarcinoma. Ann Transl Med. 2019 Oct;7(20):540.</w:t>
      </w:r>
    </w:p>
    <w:p w14:paraId="489DB2B2" w14:textId="77777777" w:rsidR="00816C34" w:rsidRPr="00F6369C" w:rsidRDefault="00816C34" w:rsidP="00816C34">
      <w:pPr>
        <w:rPr>
          <w:rFonts w:eastAsia="仿宋"/>
          <w:sz w:val="20"/>
        </w:rPr>
      </w:pPr>
      <w:r w:rsidRPr="00F6369C">
        <w:rPr>
          <w:rFonts w:eastAsia="仿宋"/>
          <w:sz w:val="20"/>
        </w:rPr>
        <w:t>7. Zhu L, Wang Y, Lv W, Wu X, Sheng H, He C, </w:t>
      </w:r>
      <w:r w:rsidRPr="00F6369C">
        <w:rPr>
          <w:rFonts w:eastAsia="仿宋"/>
          <w:b/>
          <w:bCs/>
          <w:sz w:val="20"/>
        </w:rPr>
        <w:t>Hu J</w:t>
      </w:r>
      <w:r w:rsidRPr="00F6369C">
        <w:rPr>
          <w:rFonts w:eastAsia="仿宋"/>
          <w:sz w:val="20"/>
        </w:rPr>
        <w:t>*. Schizandrin A can inhibit non</w:t>
      </w:r>
      <w:r w:rsidRPr="00F6369C">
        <w:rPr>
          <w:rFonts w:eastAsia="仿宋"/>
          <w:sz w:val="20"/>
        </w:rPr>
        <w:noBreakHyphen/>
        <w:t>small cell lung cancer cell proliferation by inducing cell cycle arrest, apoptosis and autophagy. Int J Mol Med. 2021 Dec;48(6): 214. </w:t>
      </w:r>
    </w:p>
    <w:p w14:paraId="64DD2629" w14:textId="77777777" w:rsidR="00816C34" w:rsidRPr="00F6369C" w:rsidRDefault="00816C34" w:rsidP="00816C34">
      <w:pPr>
        <w:rPr>
          <w:rFonts w:eastAsia="仿宋"/>
          <w:sz w:val="20"/>
        </w:rPr>
      </w:pPr>
      <w:r w:rsidRPr="00F6369C">
        <w:rPr>
          <w:rFonts w:eastAsia="仿宋"/>
          <w:sz w:val="20"/>
        </w:rPr>
        <w:t xml:space="preserve">8. Sheng H, Lv W, Zhu L, Wang L, Wang Z, Han J, </w:t>
      </w:r>
      <w:r w:rsidRPr="00F6369C">
        <w:rPr>
          <w:rFonts w:eastAsia="仿宋"/>
          <w:b/>
          <w:bCs/>
          <w:sz w:val="20"/>
        </w:rPr>
        <w:t>Hu J</w:t>
      </w:r>
      <w:r w:rsidRPr="00F6369C">
        <w:rPr>
          <w:rFonts w:eastAsia="仿宋"/>
          <w:sz w:val="20"/>
        </w:rPr>
        <w:t>*. Liriopesides B induces apoptosis and cell cycle arrest in human non</w:t>
      </w:r>
      <w:r w:rsidRPr="00F6369C">
        <w:rPr>
          <w:rFonts w:eastAsia="MS Gothic"/>
          <w:sz w:val="20"/>
        </w:rPr>
        <w:t>‑</w:t>
      </w:r>
      <w:r w:rsidRPr="00F6369C">
        <w:rPr>
          <w:rFonts w:eastAsia="仿宋"/>
          <w:sz w:val="20"/>
        </w:rPr>
        <w:t xml:space="preserve">small cell lung cancer cells. Int J Mol Med. 2020 Sep;46(3):1039- 1050. </w:t>
      </w:r>
    </w:p>
    <w:p w14:paraId="130DE863" w14:textId="77777777" w:rsidR="00816C34" w:rsidRPr="00F6369C" w:rsidRDefault="00816C34" w:rsidP="00816C34">
      <w:pPr>
        <w:rPr>
          <w:rFonts w:eastAsia="仿宋"/>
          <w:sz w:val="20"/>
        </w:rPr>
      </w:pPr>
      <w:r w:rsidRPr="00F6369C">
        <w:rPr>
          <w:rFonts w:eastAsia="仿宋"/>
          <w:sz w:val="20"/>
        </w:rPr>
        <w:t xml:space="preserve">9. Han J, Lv W, Sheng H, Wang Y, Cao L, Huang S, Zhu L, </w:t>
      </w:r>
      <w:r w:rsidRPr="00F6369C">
        <w:rPr>
          <w:rFonts w:eastAsia="仿宋"/>
          <w:b/>
          <w:bCs/>
          <w:sz w:val="20"/>
        </w:rPr>
        <w:t>Hu J</w:t>
      </w:r>
      <w:r w:rsidRPr="00F6369C">
        <w:rPr>
          <w:rFonts w:eastAsia="仿宋"/>
          <w:sz w:val="20"/>
        </w:rPr>
        <w:t xml:space="preserve">*. Ecliptasaponin A induces apoptosis </w:t>
      </w:r>
      <w:r w:rsidRPr="00F6369C">
        <w:rPr>
          <w:rFonts w:eastAsia="仿宋"/>
          <w:sz w:val="20"/>
        </w:rPr>
        <w:lastRenderedPageBreak/>
        <w:t xml:space="preserve">through the activation of ASK1/JNK pathway and autophagy in human lung cancer cells. Ann Transl Med. 2019 Oct;7(20):539. </w:t>
      </w:r>
    </w:p>
    <w:p w14:paraId="1798CA40" w14:textId="77777777" w:rsidR="00816C34" w:rsidRPr="00F6369C" w:rsidRDefault="00816C34" w:rsidP="00816C34">
      <w:pPr>
        <w:rPr>
          <w:rFonts w:eastAsia="仿宋"/>
          <w:color w:val="000000"/>
          <w:sz w:val="20"/>
        </w:rPr>
      </w:pPr>
      <w:bookmarkStart w:id="2" w:name="_Hlk60492279"/>
      <w:bookmarkStart w:id="3" w:name="_Hlk60491467"/>
      <w:r w:rsidRPr="00F6369C">
        <w:rPr>
          <w:rFonts w:eastAsia="仿宋"/>
          <w:color w:val="000000"/>
          <w:sz w:val="20"/>
        </w:rPr>
        <w:t xml:space="preserve">10. Jin C, Cao J, Cai Y, Wang L, Liu K, Shen W, </w:t>
      </w:r>
      <w:r w:rsidRPr="00F6369C">
        <w:rPr>
          <w:rFonts w:eastAsia="仿宋"/>
          <w:b/>
          <w:bCs/>
          <w:color w:val="000000"/>
          <w:sz w:val="20"/>
        </w:rPr>
        <w:t>Hu J</w:t>
      </w:r>
      <w:r w:rsidRPr="00F6369C">
        <w:rPr>
          <w:rFonts w:eastAsia="仿宋"/>
          <w:sz w:val="20"/>
        </w:rPr>
        <w:t>*</w:t>
      </w:r>
      <w:r w:rsidRPr="00F6369C">
        <w:rPr>
          <w:rFonts w:eastAsia="仿宋"/>
          <w:color w:val="000000"/>
          <w:sz w:val="20"/>
        </w:rPr>
        <w:t>. A nomogram for predicting the risk of invasive pulmonary adenocarcinoma for patients with solitary peripheral subsolid nodules. J Thorac Cardiovasc Surg. 2017,153(2):462-469.</w:t>
      </w:r>
      <w:bookmarkEnd w:id="2"/>
    </w:p>
    <w:bookmarkEnd w:id="3"/>
    <w:p w14:paraId="5B93BA23" w14:textId="77777777" w:rsidR="00816C34" w:rsidRPr="00F6369C" w:rsidRDefault="00816C34" w:rsidP="00816C34">
      <w:pPr>
        <w:rPr>
          <w:rFonts w:eastAsia="仿宋"/>
          <w:color w:val="000000"/>
          <w:sz w:val="20"/>
        </w:rPr>
      </w:pPr>
      <w:r w:rsidRPr="00F6369C">
        <w:rPr>
          <w:rFonts w:eastAsia="仿宋"/>
          <w:color w:val="000000"/>
          <w:sz w:val="20"/>
        </w:rPr>
        <w:t xml:space="preserve">11. Fang L, Wang L, Wang Y, Wu Y, Ye P, Lv W, </w:t>
      </w:r>
      <w:r w:rsidRPr="00F6369C">
        <w:rPr>
          <w:rFonts w:eastAsia="仿宋"/>
          <w:b/>
          <w:bCs/>
          <w:color w:val="000000"/>
          <w:sz w:val="20"/>
        </w:rPr>
        <w:t>Hu J</w:t>
      </w:r>
      <w:r w:rsidRPr="00F6369C">
        <w:rPr>
          <w:rFonts w:eastAsia="仿宋"/>
          <w:sz w:val="20"/>
        </w:rPr>
        <w:t>*</w:t>
      </w:r>
      <w:r w:rsidRPr="00F6369C">
        <w:rPr>
          <w:rFonts w:eastAsia="仿宋"/>
          <w:color w:val="000000"/>
          <w:sz w:val="20"/>
        </w:rPr>
        <w:t>. Predictors and survival impact of station 4L metastasis in left non-small cell lung cancer. J Cancer Res Clin Oncol. 2019;145(5):1313-1319.</w:t>
      </w:r>
    </w:p>
    <w:p w14:paraId="4D58B618" w14:textId="77777777" w:rsidR="00816C34" w:rsidRPr="00F6369C" w:rsidRDefault="00816C34" w:rsidP="00816C34">
      <w:pPr>
        <w:rPr>
          <w:rFonts w:eastAsia="仿宋"/>
          <w:color w:val="000000"/>
          <w:sz w:val="20"/>
        </w:rPr>
      </w:pPr>
      <w:r w:rsidRPr="00F6369C">
        <w:rPr>
          <w:rFonts w:eastAsia="仿宋"/>
          <w:color w:val="000000"/>
          <w:sz w:val="20"/>
        </w:rPr>
        <w:t xml:space="preserve">12. Wang W, Zhuang R, Ma H, Fang L, Wang Z, Lv W, </w:t>
      </w:r>
      <w:r w:rsidRPr="00F6369C">
        <w:rPr>
          <w:rFonts w:eastAsia="仿宋"/>
          <w:b/>
          <w:bCs/>
          <w:color w:val="000000"/>
          <w:sz w:val="20"/>
        </w:rPr>
        <w:t>Hu J</w:t>
      </w:r>
      <w:r w:rsidRPr="00F6369C">
        <w:rPr>
          <w:rFonts w:eastAsia="仿宋"/>
          <w:sz w:val="20"/>
        </w:rPr>
        <w:t>*</w:t>
      </w:r>
      <w:r w:rsidRPr="00F6369C">
        <w:rPr>
          <w:rFonts w:eastAsia="仿宋"/>
          <w:color w:val="000000"/>
          <w:sz w:val="20"/>
        </w:rPr>
        <w:t>. The diagnostic value of a seven-autoantibody panel and a nomogram with a scoring table for predicting the risk of non-small-cell lung cancer. Cancer Sci. 2020 May;111(5):1699-1710.</w:t>
      </w:r>
    </w:p>
    <w:p w14:paraId="5F4E8757" w14:textId="77777777" w:rsidR="00816C34" w:rsidRPr="00F6369C" w:rsidRDefault="00816C34" w:rsidP="00816C34">
      <w:pPr>
        <w:rPr>
          <w:rFonts w:eastAsia="仿宋"/>
          <w:sz w:val="20"/>
        </w:rPr>
      </w:pPr>
      <w:r w:rsidRPr="00F6369C">
        <w:rPr>
          <w:rFonts w:eastAsia="仿宋"/>
          <w:sz w:val="20"/>
        </w:rPr>
        <w:t>13.</w:t>
      </w:r>
      <w:r w:rsidRPr="00F6369C">
        <w:rPr>
          <w:rFonts w:eastAsia="仿宋"/>
          <w:b/>
          <w:bCs/>
          <w:sz w:val="20"/>
        </w:rPr>
        <w:t xml:space="preserve"> </w:t>
      </w:r>
      <w:r w:rsidRPr="00F6369C">
        <w:rPr>
          <w:rFonts w:eastAsia="仿宋"/>
          <w:sz w:val="20"/>
        </w:rPr>
        <w:t>Wu X, Sheng H, Wang L, Xia P, Wang Y, Yu L, Lv W, </w:t>
      </w:r>
      <w:r w:rsidRPr="00F6369C">
        <w:rPr>
          <w:rFonts w:eastAsia="仿宋"/>
          <w:b/>
          <w:bCs/>
          <w:sz w:val="20"/>
        </w:rPr>
        <w:t>Hu J</w:t>
      </w:r>
      <w:r w:rsidRPr="00F6369C">
        <w:rPr>
          <w:rFonts w:eastAsia="仿宋"/>
          <w:sz w:val="20"/>
        </w:rPr>
        <w:t>*. A five-m6A regulatory gene signature is a prognostic biomarker in lung adenocarcinoma patients. Aging (Albany NY). 2021 Mar 26;13(7):10034-10057.</w:t>
      </w:r>
    </w:p>
    <w:p w14:paraId="62AAFF87" w14:textId="77777777" w:rsidR="00816C34" w:rsidRPr="00F6369C" w:rsidRDefault="00816C34" w:rsidP="00816C34">
      <w:pPr>
        <w:rPr>
          <w:rFonts w:eastAsia="仿宋"/>
          <w:sz w:val="24"/>
          <w:szCs w:val="22"/>
        </w:rPr>
      </w:pPr>
      <w:r w:rsidRPr="00F6369C">
        <w:rPr>
          <w:rFonts w:eastAsia="仿宋"/>
          <w:sz w:val="20"/>
        </w:rPr>
        <w:t>14.</w:t>
      </w:r>
      <w:r w:rsidRPr="00F6369C">
        <w:rPr>
          <w:rFonts w:eastAsia="仿宋"/>
          <w:b/>
          <w:bCs/>
          <w:sz w:val="20"/>
        </w:rPr>
        <w:t xml:space="preserve"> </w:t>
      </w:r>
      <w:r w:rsidRPr="00F6369C">
        <w:rPr>
          <w:rFonts w:eastAsia="仿宋"/>
          <w:sz w:val="20"/>
        </w:rPr>
        <w:t xml:space="preserve">Wu Y, Xu J, Xu J, Wang Y, Wang L, Lv W, </w:t>
      </w:r>
      <w:r w:rsidRPr="00F6369C">
        <w:rPr>
          <w:rFonts w:eastAsia="仿宋"/>
          <w:b/>
          <w:bCs/>
          <w:sz w:val="20"/>
        </w:rPr>
        <w:t>Hu J</w:t>
      </w:r>
      <w:r w:rsidRPr="00F6369C">
        <w:rPr>
          <w:rFonts w:eastAsia="仿宋"/>
          <w:sz w:val="20"/>
        </w:rPr>
        <w:t xml:space="preserve">*. The predictive value of tumor mutation burden for immune checkpoint </w:t>
      </w:r>
    </w:p>
    <w:p w14:paraId="5519BF99" w14:textId="77777777" w:rsidR="00816C34" w:rsidRPr="00F6369C" w:rsidRDefault="00816C34" w:rsidP="00816C34">
      <w:pPr>
        <w:rPr>
          <w:rFonts w:eastAsia="仿宋"/>
          <w:sz w:val="20"/>
        </w:rPr>
      </w:pPr>
      <w:r w:rsidRPr="00F6369C">
        <w:rPr>
          <w:rFonts w:eastAsia="仿宋"/>
          <w:sz w:val="20"/>
        </w:rPr>
        <w:t>inhibitors therapy in non-small cell lung cancer is affected by patients' age. Biomark Res. 2020 Apr 9;8:9.</w:t>
      </w:r>
    </w:p>
    <w:p w14:paraId="1250A7E7" w14:textId="5675A8BE" w:rsidR="00816C34" w:rsidRPr="003011A3" w:rsidRDefault="00816C34" w:rsidP="00816C34">
      <w:pPr>
        <w:rPr>
          <w:rFonts w:eastAsia="仿宋"/>
          <w:sz w:val="24"/>
          <w:szCs w:val="22"/>
        </w:rPr>
      </w:pPr>
      <w:r w:rsidRPr="00F6369C">
        <w:rPr>
          <w:rFonts w:eastAsia="仿宋"/>
          <w:bCs/>
          <w:sz w:val="20"/>
        </w:rPr>
        <w:t>15.</w:t>
      </w:r>
      <w:r w:rsidRPr="00F6369C">
        <w:rPr>
          <w:rFonts w:eastAsia="仿宋"/>
          <w:b/>
          <w:sz w:val="20"/>
        </w:rPr>
        <w:t xml:space="preserve"> </w:t>
      </w:r>
      <w:r w:rsidRPr="00F6369C">
        <w:rPr>
          <w:rFonts w:eastAsia="仿宋"/>
          <w:sz w:val="20"/>
        </w:rPr>
        <w:t xml:space="preserve">Yuan P, Huang S, Bao FC, Cao JL, Sheng HX, Shi L, Lv W, </w:t>
      </w:r>
      <w:r w:rsidRPr="00F6369C">
        <w:rPr>
          <w:rFonts w:eastAsia="仿宋"/>
          <w:b/>
          <w:sz w:val="20"/>
        </w:rPr>
        <w:t>Hu J</w:t>
      </w:r>
      <w:r w:rsidRPr="00F6369C">
        <w:rPr>
          <w:rFonts w:eastAsia="仿宋"/>
          <w:sz w:val="20"/>
        </w:rPr>
        <w:t>*. Discriminating association of a common telomerase reverse transcriptase promoter polymorphism with telomere parameters in non-small cell lung cancer with or without epidermal growth factor receptor mutation. Eur J Cancer. 2019 Oct;120:10-19.</w:t>
      </w:r>
    </w:p>
    <w:p w14:paraId="07F61499" w14:textId="7AD75C82" w:rsidR="00816C34" w:rsidRPr="003011A3" w:rsidRDefault="00816C34" w:rsidP="00816C34">
      <w:pPr>
        <w:rPr>
          <w:rFonts w:eastAsia="仿宋"/>
          <w:sz w:val="24"/>
          <w:szCs w:val="22"/>
        </w:rPr>
      </w:pPr>
      <w:r w:rsidRPr="00F6369C">
        <w:rPr>
          <w:rFonts w:eastAsia="仿宋"/>
          <w:bCs/>
          <w:sz w:val="20"/>
        </w:rPr>
        <w:t>16.</w:t>
      </w:r>
      <w:r w:rsidRPr="00F6369C">
        <w:rPr>
          <w:rFonts w:eastAsia="仿宋"/>
          <w:b/>
          <w:sz w:val="20"/>
        </w:rPr>
        <w:t xml:space="preserve"> </w:t>
      </w:r>
      <w:r w:rsidRPr="00F6369C">
        <w:rPr>
          <w:rFonts w:eastAsia="仿宋"/>
          <w:sz w:val="20"/>
        </w:rPr>
        <w:t xml:space="preserve">Xu J, Lv W, Hu Y, Wang L, Wang Y, Cao J, </w:t>
      </w:r>
      <w:r w:rsidRPr="00F6369C">
        <w:rPr>
          <w:rFonts w:eastAsia="仿宋"/>
          <w:b/>
          <w:sz w:val="20"/>
        </w:rPr>
        <w:t>Hu J</w:t>
      </w:r>
      <w:r w:rsidRPr="00F6369C">
        <w:rPr>
          <w:rFonts w:eastAsia="仿宋"/>
          <w:sz w:val="20"/>
        </w:rPr>
        <w:t xml:space="preserve">*. Wnt3a Expression Is Associated with Epithelial-Mesenchymal Transition and Impacts Prognosis of Lung Adenocarcinoma Patients. J Cancer. 2017 Aug 2;8(13):2523-2531. </w:t>
      </w:r>
    </w:p>
    <w:p w14:paraId="0680ED3B" w14:textId="77777777" w:rsidR="00816C34" w:rsidRPr="00F6369C" w:rsidRDefault="00816C34" w:rsidP="00816C34">
      <w:pPr>
        <w:rPr>
          <w:rFonts w:eastAsia="仿宋"/>
          <w:sz w:val="20"/>
        </w:rPr>
      </w:pPr>
      <w:r w:rsidRPr="00F6369C">
        <w:rPr>
          <w:rFonts w:eastAsia="仿宋"/>
          <w:sz w:val="20"/>
        </w:rPr>
        <w:t>17. Yuan P, Cao JL, Abuduwufuer A, Wang LM, Yuan XS, Lv W, </w:t>
      </w:r>
      <w:r w:rsidRPr="00F6369C">
        <w:rPr>
          <w:rFonts w:eastAsia="仿宋"/>
          <w:b/>
          <w:bCs/>
          <w:sz w:val="20"/>
        </w:rPr>
        <w:t>Hu J</w:t>
      </w:r>
      <w:r w:rsidRPr="00F6369C">
        <w:rPr>
          <w:rFonts w:eastAsia="仿宋"/>
          <w:sz w:val="20"/>
        </w:rPr>
        <w:t xml:space="preserve">*. Clinical Characteristics and Prognostic Significance of TERT Promoter Mutations in Cancer: A Cohort Study and a Meta-Analysis. PLoS One. 2016 Jan 22;11(1):e0146803. </w:t>
      </w:r>
    </w:p>
    <w:p w14:paraId="1B199407" w14:textId="77777777" w:rsidR="00816C34" w:rsidRPr="00F6369C" w:rsidRDefault="00816C34" w:rsidP="00816C34">
      <w:pPr>
        <w:rPr>
          <w:rFonts w:eastAsia="仿宋"/>
          <w:color w:val="000000"/>
          <w:sz w:val="20"/>
        </w:rPr>
      </w:pPr>
      <w:r w:rsidRPr="00F6369C">
        <w:rPr>
          <w:rFonts w:eastAsia="仿宋"/>
          <w:color w:val="000000"/>
          <w:sz w:val="20"/>
        </w:rPr>
        <w:t xml:space="preserve">18. Ma H, An Z, Xia P, Cao J, Gao Q, Ren G, Xue X, Wang X, He Z, </w:t>
      </w:r>
      <w:r w:rsidRPr="00F6369C">
        <w:rPr>
          <w:rFonts w:eastAsia="仿宋"/>
          <w:b/>
          <w:bCs/>
          <w:color w:val="000000"/>
          <w:sz w:val="20"/>
        </w:rPr>
        <w:t>Hu J</w:t>
      </w:r>
      <w:r w:rsidRPr="00F6369C">
        <w:rPr>
          <w:rFonts w:eastAsia="仿宋"/>
          <w:sz w:val="20"/>
        </w:rPr>
        <w:t>*</w:t>
      </w:r>
      <w:r w:rsidRPr="00F6369C">
        <w:rPr>
          <w:rFonts w:eastAsia="仿宋"/>
          <w:color w:val="000000"/>
          <w:sz w:val="20"/>
        </w:rPr>
        <w:t>. Semi-quantitative analysis of EBUS elastography as a feasible approach in diagnosing mediastinal and hilar lymph nodes of lung cancer patients. Sci Rep, 2018,23,8(1):3571.</w:t>
      </w:r>
    </w:p>
    <w:p w14:paraId="3F508EBC" w14:textId="77777777" w:rsidR="00816C34" w:rsidRPr="00F6369C" w:rsidRDefault="00816C34" w:rsidP="00816C34">
      <w:pPr>
        <w:rPr>
          <w:rFonts w:eastAsia="仿宋"/>
          <w:color w:val="000000"/>
          <w:sz w:val="20"/>
        </w:rPr>
      </w:pPr>
      <w:r w:rsidRPr="00F6369C">
        <w:rPr>
          <w:rFonts w:eastAsia="仿宋"/>
          <w:color w:val="000000"/>
          <w:sz w:val="20"/>
        </w:rPr>
        <w:t xml:space="preserve">19. Huang S, Xu J, An Z, Yuan P, Xu H, Lv W, </w:t>
      </w:r>
      <w:r w:rsidRPr="00F6369C">
        <w:rPr>
          <w:rFonts w:eastAsia="仿宋"/>
          <w:b/>
          <w:bCs/>
          <w:color w:val="000000"/>
          <w:sz w:val="20"/>
        </w:rPr>
        <w:t>Hu J</w:t>
      </w:r>
      <w:r w:rsidRPr="00F6369C">
        <w:rPr>
          <w:rFonts w:eastAsia="仿宋"/>
          <w:sz w:val="20"/>
        </w:rPr>
        <w:t>*</w:t>
      </w:r>
      <w:r w:rsidRPr="00F6369C">
        <w:rPr>
          <w:rFonts w:eastAsia="仿宋"/>
          <w:color w:val="000000"/>
          <w:sz w:val="20"/>
        </w:rPr>
        <w:t>. Clinical assessment of airway stent placement in patients with malignant airway lesions. J Thorac Dis, 2018,10(6):3277-3288.</w:t>
      </w:r>
    </w:p>
    <w:p w14:paraId="108092FF" w14:textId="77777777" w:rsidR="00816C34" w:rsidRPr="00F6369C" w:rsidRDefault="00816C34" w:rsidP="00816C34">
      <w:pPr>
        <w:rPr>
          <w:rFonts w:eastAsia="仿宋"/>
          <w:color w:val="000000"/>
          <w:sz w:val="20"/>
        </w:rPr>
      </w:pPr>
      <w:r w:rsidRPr="00F6369C">
        <w:rPr>
          <w:rFonts w:eastAsia="仿宋"/>
          <w:color w:val="000000"/>
          <w:sz w:val="20"/>
        </w:rPr>
        <w:t xml:space="preserve">20. Bao F, Ye P, Yang Y, Wang L, Zhang C, Lv X, </w:t>
      </w:r>
      <w:r w:rsidRPr="00F6369C">
        <w:rPr>
          <w:rFonts w:eastAsia="仿宋"/>
          <w:b/>
          <w:bCs/>
          <w:color w:val="000000"/>
          <w:sz w:val="20"/>
        </w:rPr>
        <w:t>Hu J</w:t>
      </w:r>
      <w:r w:rsidRPr="00F6369C">
        <w:rPr>
          <w:rFonts w:eastAsia="仿宋"/>
          <w:sz w:val="20"/>
        </w:rPr>
        <w:t>*</w:t>
      </w:r>
      <w:r w:rsidRPr="00F6369C">
        <w:rPr>
          <w:rFonts w:eastAsia="仿宋"/>
          <w:b/>
          <w:bCs/>
          <w:color w:val="000000"/>
          <w:sz w:val="20"/>
        </w:rPr>
        <w:t xml:space="preserve">. </w:t>
      </w:r>
      <w:r w:rsidRPr="00F6369C">
        <w:rPr>
          <w:rFonts w:eastAsia="仿宋"/>
          <w:color w:val="000000"/>
          <w:sz w:val="20"/>
        </w:rPr>
        <w:t>Segmentectomy or lobectomy for early-stage lung cancer: a meta-analysis. Eur J Cardiothorac Surg, 2014, 46(1):1-7.</w:t>
      </w:r>
    </w:p>
    <w:p w14:paraId="2F940C2A" w14:textId="77777777" w:rsidR="00816C34" w:rsidRPr="00F6369C" w:rsidRDefault="00816C34" w:rsidP="00816C34">
      <w:pPr>
        <w:rPr>
          <w:rFonts w:eastAsia="仿宋"/>
          <w:color w:val="000000"/>
          <w:sz w:val="20"/>
        </w:rPr>
      </w:pPr>
      <w:r w:rsidRPr="00F6369C">
        <w:rPr>
          <w:rFonts w:eastAsia="仿宋"/>
          <w:color w:val="000000"/>
          <w:sz w:val="20"/>
        </w:rPr>
        <w:t xml:space="preserve">21. Yang Y, Bao F, He Z, </w:t>
      </w:r>
      <w:r w:rsidRPr="00F6369C">
        <w:rPr>
          <w:rFonts w:eastAsia="仿宋"/>
          <w:b/>
          <w:bCs/>
          <w:color w:val="000000"/>
          <w:sz w:val="20"/>
        </w:rPr>
        <w:t>Hu J</w:t>
      </w:r>
      <w:r w:rsidRPr="00F6369C">
        <w:rPr>
          <w:rFonts w:eastAsia="仿宋"/>
          <w:sz w:val="20"/>
        </w:rPr>
        <w:t>*</w:t>
      </w:r>
      <w:r w:rsidRPr="00F6369C">
        <w:rPr>
          <w:rFonts w:eastAsia="仿宋"/>
          <w:color w:val="000000"/>
          <w:sz w:val="20"/>
        </w:rPr>
        <w:t>. Single-port video-assisted thoracoscopic right upper lobectomy using a flexible videoscope. Eur J Cardiothorac Surg, 2014, 46(3):496-497.</w:t>
      </w:r>
    </w:p>
    <w:p w14:paraId="5DA384B1" w14:textId="77777777" w:rsidR="00816C34" w:rsidRPr="00F6369C" w:rsidRDefault="00816C34" w:rsidP="00816C34">
      <w:pPr>
        <w:rPr>
          <w:rFonts w:eastAsia="仿宋"/>
          <w:color w:val="000000"/>
          <w:sz w:val="20"/>
        </w:rPr>
      </w:pPr>
      <w:r w:rsidRPr="00F6369C">
        <w:rPr>
          <w:rFonts w:eastAsia="仿宋"/>
          <w:color w:val="000000"/>
          <w:sz w:val="20"/>
        </w:rPr>
        <w:t xml:space="preserve">22. Bao F, Abuduwufuer A, Yuan X, Lv X, </w:t>
      </w:r>
      <w:r w:rsidRPr="00F6369C">
        <w:rPr>
          <w:rFonts w:eastAsia="仿宋"/>
          <w:b/>
          <w:bCs/>
          <w:color w:val="000000"/>
          <w:sz w:val="20"/>
        </w:rPr>
        <w:t>Hu J</w:t>
      </w:r>
      <w:r w:rsidRPr="00F6369C">
        <w:rPr>
          <w:rFonts w:eastAsia="仿宋"/>
          <w:sz w:val="20"/>
        </w:rPr>
        <w:t>*</w:t>
      </w:r>
      <w:r w:rsidRPr="00F6369C">
        <w:rPr>
          <w:rFonts w:eastAsia="仿宋"/>
          <w:color w:val="000000"/>
          <w:sz w:val="20"/>
        </w:rPr>
        <w:t>. Optimal lung cancer candidates for sublobar resection: prediction of pathologic node-negative clinical stage IA NSCLC. Ann Thorac Surg. 2015;99(6):2253.</w:t>
      </w:r>
    </w:p>
    <w:p w14:paraId="6526678B" w14:textId="77777777" w:rsidR="00816C34" w:rsidRPr="00F6369C" w:rsidRDefault="00816C34" w:rsidP="00816C34">
      <w:pPr>
        <w:rPr>
          <w:rFonts w:eastAsia="仿宋"/>
          <w:color w:val="000000"/>
          <w:sz w:val="20"/>
        </w:rPr>
      </w:pPr>
      <w:r w:rsidRPr="00F6369C">
        <w:rPr>
          <w:rFonts w:eastAsia="仿宋"/>
          <w:color w:val="000000"/>
          <w:sz w:val="20"/>
        </w:rPr>
        <w:t xml:space="preserve">23. Bao F, Zhang C, Yang Y, He Z, Wang L, </w:t>
      </w:r>
      <w:r w:rsidRPr="00F6369C">
        <w:rPr>
          <w:rFonts w:eastAsia="仿宋"/>
          <w:b/>
          <w:bCs/>
          <w:color w:val="000000"/>
          <w:sz w:val="20"/>
        </w:rPr>
        <w:t>Hu J</w:t>
      </w:r>
      <w:r w:rsidRPr="00F6369C">
        <w:rPr>
          <w:rFonts w:eastAsia="仿宋"/>
          <w:sz w:val="20"/>
        </w:rPr>
        <w:t>*</w:t>
      </w:r>
      <w:r w:rsidRPr="00F6369C">
        <w:rPr>
          <w:rFonts w:eastAsia="仿宋"/>
          <w:color w:val="000000"/>
          <w:sz w:val="20"/>
        </w:rPr>
        <w:t>. Comparison of robotic and video-assisted thoracic surgery for lung cancer: a propensity-matched analysis. J Thorac Dis, 2016, 8(7):1798-1803.</w:t>
      </w:r>
    </w:p>
    <w:p w14:paraId="0D5F3942" w14:textId="77777777" w:rsidR="00816C34" w:rsidRPr="00F6369C" w:rsidRDefault="00816C34" w:rsidP="00816C34">
      <w:pPr>
        <w:rPr>
          <w:rFonts w:eastAsia="仿宋"/>
          <w:color w:val="000000"/>
          <w:sz w:val="20"/>
        </w:rPr>
      </w:pPr>
      <w:r w:rsidRPr="00F6369C">
        <w:rPr>
          <w:rFonts w:eastAsia="仿宋"/>
          <w:color w:val="000000"/>
          <w:sz w:val="20"/>
        </w:rPr>
        <w:t xml:space="preserve">24. Meng D, Zhou Z, Wang Y, Wang L, Lv W, </w:t>
      </w:r>
      <w:r w:rsidRPr="00F6369C">
        <w:rPr>
          <w:rFonts w:eastAsia="仿宋"/>
          <w:b/>
          <w:bCs/>
          <w:color w:val="000000"/>
          <w:sz w:val="20"/>
        </w:rPr>
        <w:t>Hu J</w:t>
      </w:r>
      <w:r w:rsidRPr="00F6369C">
        <w:rPr>
          <w:rFonts w:eastAsia="仿宋"/>
          <w:sz w:val="20"/>
        </w:rPr>
        <w:t>*</w:t>
      </w:r>
      <w:r w:rsidRPr="00F6369C">
        <w:rPr>
          <w:rFonts w:eastAsia="仿宋"/>
          <w:color w:val="000000"/>
          <w:sz w:val="20"/>
        </w:rPr>
        <w:t>. Lymphadenectomy for clinical early-stage non-small-cell lung cancer: a systematic review and meta-analysis. Eur J Cardiothorac Surg. 2016, 50(4):597-604.</w:t>
      </w:r>
    </w:p>
    <w:p w14:paraId="192452D3" w14:textId="77777777" w:rsidR="00816C34" w:rsidRPr="00F6369C" w:rsidRDefault="00816C34" w:rsidP="00816C34">
      <w:pPr>
        <w:rPr>
          <w:rFonts w:eastAsia="仿宋"/>
          <w:color w:val="000000"/>
          <w:sz w:val="20"/>
        </w:rPr>
      </w:pPr>
      <w:r w:rsidRPr="00F6369C">
        <w:rPr>
          <w:rFonts w:eastAsia="仿宋"/>
          <w:color w:val="000000"/>
          <w:sz w:val="20"/>
        </w:rPr>
        <w:t xml:space="preserve">25. Cao J, Xu J, He Z, Yuan P, Huang S, Lv W, </w:t>
      </w:r>
      <w:r w:rsidRPr="00F6369C">
        <w:rPr>
          <w:rFonts w:eastAsia="仿宋"/>
          <w:b/>
          <w:bCs/>
          <w:color w:val="000000"/>
          <w:sz w:val="20"/>
        </w:rPr>
        <w:t>Hu J</w:t>
      </w:r>
      <w:r w:rsidRPr="00F6369C">
        <w:rPr>
          <w:rFonts w:eastAsia="仿宋"/>
          <w:sz w:val="20"/>
        </w:rPr>
        <w:t>*</w:t>
      </w:r>
      <w:r w:rsidRPr="00F6369C">
        <w:rPr>
          <w:rFonts w:eastAsia="仿宋"/>
          <w:color w:val="000000"/>
          <w:sz w:val="20"/>
        </w:rPr>
        <w:t xml:space="preserve">. Prognostic impact of lymphadenectomy on outcomes of sublobar resection for stage IA non-small cell lung cancer ≤2 cm. J Thorac Cardiovasc Surg. </w:t>
      </w:r>
      <w:r w:rsidRPr="00F6369C">
        <w:rPr>
          <w:rFonts w:eastAsia="仿宋"/>
          <w:color w:val="000000"/>
          <w:sz w:val="20"/>
        </w:rPr>
        <w:lastRenderedPageBreak/>
        <w:t>2018;156(2):796-805.e4.</w:t>
      </w:r>
    </w:p>
    <w:p w14:paraId="218A24D2" w14:textId="77777777" w:rsidR="00816C34" w:rsidRPr="00F6369C" w:rsidRDefault="00816C34" w:rsidP="00816C34">
      <w:pPr>
        <w:rPr>
          <w:rFonts w:eastAsia="仿宋"/>
          <w:color w:val="000000"/>
          <w:sz w:val="20"/>
        </w:rPr>
      </w:pPr>
      <w:r w:rsidRPr="00F6369C">
        <w:rPr>
          <w:rFonts w:eastAsia="仿宋"/>
          <w:color w:val="000000"/>
          <w:sz w:val="20"/>
        </w:rPr>
        <w:t xml:space="preserve">26. Cao J, Yuan P, Wang Y, Xu J, Yuan X, Wang Z, Lv W, </w:t>
      </w:r>
      <w:r w:rsidRPr="00F6369C">
        <w:rPr>
          <w:rFonts w:eastAsia="仿宋"/>
          <w:b/>
          <w:bCs/>
          <w:color w:val="000000"/>
          <w:sz w:val="20"/>
        </w:rPr>
        <w:t>Hu J</w:t>
      </w:r>
      <w:r w:rsidRPr="00F6369C">
        <w:rPr>
          <w:rFonts w:eastAsia="仿宋"/>
          <w:sz w:val="20"/>
        </w:rPr>
        <w:t>*</w:t>
      </w:r>
      <w:r w:rsidRPr="00F6369C">
        <w:rPr>
          <w:rFonts w:eastAsia="仿宋"/>
          <w:color w:val="000000"/>
          <w:sz w:val="20"/>
        </w:rPr>
        <w:t>. Survival rates after lobectomy, segmentectomy, and wedge resection for non-small cell lung cancer. Ann Thorac Surg. 2018;105(5):1483-1491.</w:t>
      </w:r>
    </w:p>
    <w:p w14:paraId="4BB360A8" w14:textId="77777777" w:rsidR="00816C34" w:rsidRPr="00F6369C" w:rsidRDefault="00816C34" w:rsidP="00816C34">
      <w:pPr>
        <w:rPr>
          <w:rFonts w:eastAsia="仿宋"/>
          <w:color w:val="000000"/>
          <w:sz w:val="20"/>
        </w:rPr>
      </w:pPr>
      <w:bookmarkStart w:id="4" w:name="_Hlk58617898"/>
      <w:r w:rsidRPr="00F6369C">
        <w:rPr>
          <w:rFonts w:eastAsia="仿宋"/>
          <w:color w:val="000000"/>
          <w:sz w:val="20"/>
        </w:rPr>
        <w:t xml:space="preserve">27. Wu Y, Yang R, Xu J, Rusidanmu A, Zhang X, </w:t>
      </w:r>
      <w:r w:rsidRPr="00F6369C">
        <w:rPr>
          <w:rFonts w:eastAsia="仿宋"/>
          <w:b/>
          <w:bCs/>
          <w:color w:val="000000"/>
          <w:sz w:val="20"/>
        </w:rPr>
        <w:t>Hu J</w:t>
      </w:r>
      <w:r w:rsidRPr="00F6369C">
        <w:rPr>
          <w:rFonts w:eastAsia="仿宋"/>
          <w:sz w:val="20"/>
        </w:rPr>
        <w:t>*</w:t>
      </w:r>
      <w:r w:rsidRPr="00F6369C">
        <w:rPr>
          <w:rFonts w:eastAsia="仿宋"/>
          <w:color w:val="000000"/>
          <w:sz w:val="20"/>
        </w:rPr>
        <w:t>. Effects of intraoperative fluid management on postoperative outcomes following lobectomy. Ann Thorac Surg. 2019,107(6):1663-1669.</w:t>
      </w:r>
      <w:bookmarkEnd w:id="4"/>
    </w:p>
    <w:p w14:paraId="1DA0E7C5" w14:textId="04148E62" w:rsidR="00816C34" w:rsidRPr="00F6369C" w:rsidRDefault="003011A3" w:rsidP="00816C34">
      <w:pPr>
        <w:rPr>
          <w:rFonts w:eastAsia="仿宋"/>
          <w:sz w:val="20"/>
        </w:rPr>
      </w:pPr>
      <w:r>
        <w:rPr>
          <w:rFonts w:eastAsia="仿宋"/>
          <w:sz w:val="20"/>
        </w:rPr>
        <w:t>28</w:t>
      </w:r>
      <w:r w:rsidR="00816C34" w:rsidRPr="00F6369C">
        <w:rPr>
          <w:rFonts w:eastAsia="仿宋"/>
          <w:sz w:val="20"/>
        </w:rPr>
        <w:t xml:space="preserve">. </w:t>
      </w:r>
      <w:r w:rsidR="00816C34" w:rsidRPr="00F6369C">
        <w:rPr>
          <w:rFonts w:eastAsia="仿宋"/>
          <w:sz w:val="20"/>
        </w:rPr>
        <w:t>黄海涛</w:t>
      </w:r>
      <w:r w:rsidR="00816C34" w:rsidRPr="00F6369C">
        <w:rPr>
          <w:rFonts w:eastAsia="仿宋"/>
          <w:sz w:val="20"/>
        </w:rPr>
        <w:t xml:space="preserve">, </w:t>
      </w:r>
      <w:r w:rsidR="00816C34" w:rsidRPr="00F6369C">
        <w:rPr>
          <w:rFonts w:eastAsia="仿宋"/>
          <w:sz w:val="20"/>
        </w:rPr>
        <w:t>李灵</w:t>
      </w:r>
      <w:r w:rsidR="00816C34" w:rsidRPr="00F6369C">
        <w:rPr>
          <w:rFonts w:eastAsia="仿宋"/>
          <w:sz w:val="20"/>
        </w:rPr>
        <w:t xml:space="preserve">, </w:t>
      </w:r>
      <w:r w:rsidR="00816C34" w:rsidRPr="00F6369C">
        <w:rPr>
          <w:rFonts w:eastAsia="仿宋"/>
          <w:sz w:val="20"/>
        </w:rPr>
        <w:t>陈善</w:t>
      </w:r>
      <w:r w:rsidR="00816C34" w:rsidRPr="00F6369C">
        <w:rPr>
          <w:rFonts w:eastAsia="仿宋"/>
          <w:sz w:val="20"/>
        </w:rPr>
        <w:t xml:space="preserve">, </w:t>
      </w:r>
      <w:r w:rsidR="00816C34" w:rsidRPr="00F6369C">
        <w:rPr>
          <w:rFonts w:eastAsia="仿宋"/>
          <w:sz w:val="20"/>
        </w:rPr>
        <w:t>吕望</w:t>
      </w:r>
      <w:r w:rsidR="00816C34" w:rsidRPr="00F6369C">
        <w:rPr>
          <w:rFonts w:eastAsia="仿宋"/>
          <w:sz w:val="20"/>
        </w:rPr>
        <w:t xml:space="preserve">, </w:t>
      </w:r>
      <w:r w:rsidR="00816C34" w:rsidRPr="00F6369C">
        <w:rPr>
          <w:rFonts w:eastAsia="仿宋"/>
          <w:b/>
          <w:bCs/>
          <w:sz w:val="20"/>
        </w:rPr>
        <w:t>胡坚</w:t>
      </w:r>
      <w:r w:rsidR="00816C34" w:rsidRPr="00F6369C">
        <w:rPr>
          <w:rFonts w:eastAsia="仿宋"/>
          <w:sz w:val="20"/>
        </w:rPr>
        <w:t xml:space="preserve">*. </w:t>
      </w:r>
      <w:r w:rsidR="00816C34" w:rsidRPr="00F6369C">
        <w:rPr>
          <w:rFonts w:eastAsia="仿宋"/>
          <w:sz w:val="20"/>
        </w:rPr>
        <w:t>去甲基化酶</w:t>
      </w:r>
      <w:r w:rsidR="00816C34" w:rsidRPr="00F6369C">
        <w:rPr>
          <w:rFonts w:eastAsia="仿宋"/>
          <w:sz w:val="20"/>
        </w:rPr>
        <w:t>ALKBH5</w:t>
      </w:r>
      <w:r w:rsidR="00816C34" w:rsidRPr="00F6369C">
        <w:rPr>
          <w:rFonts w:eastAsia="仿宋"/>
          <w:sz w:val="20"/>
        </w:rPr>
        <w:t>在肺腺癌组织中的表达及其与细胞增殖的关系</w:t>
      </w:r>
      <w:r w:rsidR="00816C34" w:rsidRPr="00F6369C">
        <w:rPr>
          <w:rFonts w:eastAsia="仿宋"/>
          <w:sz w:val="20"/>
        </w:rPr>
        <w:t xml:space="preserve">. </w:t>
      </w:r>
      <w:r w:rsidR="00816C34" w:rsidRPr="00F6369C">
        <w:rPr>
          <w:rFonts w:eastAsia="仿宋"/>
          <w:sz w:val="20"/>
        </w:rPr>
        <w:t>肿瘤</w:t>
      </w:r>
      <w:r w:rsidR="00816C34" w:rsidRPr="00F6369C">
        <w:rPr>
          <w:rFonts w:eastAsia="仿宋"/>
          <w:sz w:val="20"/>
        </w:rPr>
        <w:t>. 2018, 38(6): 572-580.</w:t>
      </w:r>
    </w:p>
    <w:p w14:paraId="40E82371" w14:textId="5E5B7D0B" w:rsidR="00816C34" w:rsidRPr="00F6369C" w:rsidRDefault="003011A3" w:rsidP="00816C34">
      <w:pPr>
        <w:rPr>
          <w:rFonts w:eastAsia="仿宋"/>
          <w:sz w:val="20"/>
        </w:rPr>
      </w:pPr>
      <w:r>
        <w:rPr>
          <w:rFonts w:eastAsia="仿宋"/>
          <w:sz w:val="20"/>
        </w:rPr>
        <w:t xml:space="preserve">29. </w:t>
      </w:r>
      <w:r w:rsidR="00816C34" w:rsidRPr="00F6369C">
        <w:rPr>
          <w:rFonts w:eastAsia="仿宋"/>
          <w:sz w:val="20"/>
        </w:rPr>
        <w:t>万海军</w:t>
      </w:r>
      <w:r w:rsidR="00816C34" w:rsidRPr="00F6369C">
        <w:rPr>
          <w:rFonts w:eastAsia="仿宋"/>
          <w:sz w:val="20"/>
        </w:rPr>
        <w:t xml:space="preserve">, </w:t>
      </w:r>
      <w:r w:rsidR="00816C34" w:rsidRPr="00F6369C">
        <w:rPr>
          <w:rFonts w:eastAsia="仿宋"/>
          <w:sz w:val="20"/>
        </w:rPr>
        <w:t>吕望</w:t>
      </w:r>
      <w:r w:rsidR="00816C34" w:rsidRPr="00F6369C">
        <w:rPr>
          <w:rFonts w:eastAsia="仿宋"/>
          <w:sz w:val="20"/>
        </w:rPr>
        <w:t xml:space="preserve">, </w:t>
      </w:r>
      <w:r w:rsidR="00816C34" w:rsidRPr="00F6369C">
        <w:rPr>
          <w:rFonts w:eastAsia="仿宋"/>
          <w:sz w:val="20"/>
        </w:rPr>
        <w:t>虞莉</w:t>
      </w:r>
      <w:r w:rsidR="00816C34" w:rsidRPr="00F6369C">
        <w:rPr>
          <w:rFonts w:eastAsia="仿宋"/>
          <w:sz w:val="20"/>
        </w:rPr>
        <w:t xml:space="preserve">, </w:t>
      </w:r>
      <w:r w:rsidR="00816C34" w:rsidRPr="00F6369C">
        <w:rPr>
          <w:rFonts w:eastAsia="仿宋"/>
          <w:sz w:val="20"/>
        </w:rPr>
        <w:t>周振宇</w:t>
      </w:r>
      <w:r w:rsidR="00816C34" w:rsidRPr="00F6369C">
        <w:rPr>
          <w:rFonts w:eastAsia="仿宋"/>
          <w:sz w:val="20"/>
        </w:rPr>
        <w:t xml:space="preserve">, </w:t>
      </w:r>
      <w:r w:rsidR="00816C34" w:rsidRPr="00F6369C">
        <w:rPr>
          <w:rFonts w:eastAsia="仿宋"/>
          <w:sz w:val="20"/>
        </w:rPr>
        <w:t>胡耶基</w:t>
      </w:r>
      <w:r w:rsidR="00816C34" w:rsidRPr="00F6369C">
        <w:rPr>
          <w:rFonts w:eastAsia="仿宋"/>
          <w:sz w:val="20"/>
        </w:rPr>
        <w:t xml:space="preserve">, </w:t>
      </w:r>
      <w:r w:rsidR="00816C34" w:rsidRPr="00F6369C">
        <w:rPr>
          <w:rFonts w:eastAsia="仿宋"/>
          <w:b/>
          <w:bCs/>
          <w:sz w:val="20"/>
        </w:rPr>
        <w:t>胡坚</w:t>
      </w:r>
      <w:r w:rsidR="00816C34" w:rsidRPr="00F6369C">
        <w:rPr>
          <w:rFonts w:eastAsia="仿宋"/>
          <w:sz w:val="20"/>
        </w:rPr>
        <w:t xml:space="preserve">*. </w:t>
      </w:r>
      <w:r w:rsidR="00816C34" w:rsidRPr="00F6369C">
        <w:rPr>
          <w:rFonts w:eastAsia="仿宋"/>
          <w:sz w:val="20"/>
        </w:rPr>
        <w:t>靶向抑制组蛋白甲基转移酶</w:t>
      </w:r>
      <w:r w:rsidR="00816C34" w:rsidRPr="00F6369C">
        <w:rPr>
          <w:rFonts w:eastAsia="仿宋"/>
          <w:sz w:val="20"/>
        </w:rPr>
        <w:t>G9a</w:t>
      </w:r>
      <w:r w:rsidR="00816C34" w:rsidRPr="00F6369C">
        <w:rPr>
          <w:rFonts w:eastAsia="仿宋"/>
          <w:sz w:val="20"/>
        </w:rPr>
        <w:t>通过线粒体凋亡途径抑制肺腺癌细胞增殖</w:t>
      </w:r>
      <w:r w:rsidR="00816C34" w:rsidRPr="00F6369C">
        <w:rPr>
          <w:rFonts w:eastAsia="仿宋"/>
          <w:sz w:val="20"/>
        </w:rPr>
        <w:t xml:space="preserve">. </w:t>
      </w:r>
      <w:r w:rsidR="00816C34" w:rsidRPr="00F6369C">
        <w:rPr>
          <w:rFonts w:eastAsia="仿宋"/>
          <w:sz w:val="20"/>
        </w:rPr>
        <w:t>中华肿瘤杂志</w:t>
      </w:r>
      <w:r w:rsidR="00816C34" w:rsidRPr="00F6369C">
        <w:rPr>
          <w:rFonts w:eastAsia="仿宋"/>
          <w:sz w:val="20"/>
        </w:rPr>
        <w:t>, 2017, 39(1): 13-17.</w:t>
      </w:r>
    </w:p>
    <w:p w14:paraId="24A424AA" w14:textId="76D8FC9D" w:rsidR="00777E95" w:rsidRPr="003011A3" w:rsidRDefault="00816C34" w:rsidP="003011A3">
      <w:pPr>
        <w:adjustRightInd w:val="0"/>
        <w:snapToGrid w:val="0"/>
        <w:spacing w:line="500" w:lineRule="exact"/>
        <w:rPr>
          <w:rFonts w:ascii="仿宋" w:eastAsia="仿宋" w:hAnsi="仿宋"/>
          <w:color w:val="000000"/>
          <w:kern w:val="0"/>
          <w:sz w:val="24"/>
          <w:szCs w:val="24"/>
        </w:rPr>
      </w:pPr>
      <w:r w:rsidRPr="00613649">
        <w:rPr>
          <w:rFonts w:ascii="仿宋" w:eastAsia="仿宋" w:hAnsi="仿宋" w:hint="eastAsia"/>
          <w:b/>
          <w:bCs/>
          <w:color w:val="000000"/>
          <w:kern w:val="0"/>
          <w:sz w:val="24"/>
          <w:szCs w:val="24"/>
        </w:rPr>
        <w:t>7、主要知识产权证明目录：</w:t>
      </w:r>
      <w:r w:rsidRPr="00613649">
        <w:rPr>
          <w:rFonts w:ascii="仿宋" w:eastAsia="仿宋" w:hAnsi="仿宋" w:hint="eastAsia"/>
          <w:color w:val="000000"/>
          <w:kern w:val="0"/>
          <w:sz w:val="24"/>
          <w:szCs w:val="24"/>
        </w:rPr>
        <w:t>无</w:t>
      </w:r>
    </w:p>
    <w:sectPr w:rsidR="00777E95" w:rsidRPr="003011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58B6B" w14:textId="77777777" w:rsidR="007524D6" w:rsidRDefault="007524D6" w:rsidP="00816C34">
      <w:r>
        <w:separator/>
      </w:r>
    </w:p>
  </w:endnote>
  <w:endnote w:type="continuationSeparator" w:id="0">
    <w:p w14:paraId="125802F2" w14:textId="77777777" w:rsidR="007524D6" w:rsidRDefault="007524D6" w:rsidP="0081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3FC58" w14:textId="77777777" w:rsidR="007524D6" w:rsidRDefault="007524D6" w:rsidP="00816C34">
      <w:r>
        <w:separator/>
      </w:r>
    </w:p>
  </w:footnote>
  <w:footnote w:type="continuationSeparator" w:id="0">
    <w:p w14:paraId="441BCE90" w14:textId="77777777" w:rsidR="007524D6" w:rsidRDefault="007524D6" w:rsidP="00816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0A1A2DBE-E702-4910-97D8-A8766BE7235B}"/>
    <w:docVar w:name="KY_MEDREF_VERSION" w:val="3"/>
  </w:docVars>
  <w:rsids>
    <w:rsidRoot w:val="001E746B"/>
    <w:rsid w:val="00004FAC"/>
    <w:rsid w:val="000A204B"/>
    <w:rsid w:val="00141968"/>
    <w:rsid w:val="00165C22"/>
    <w:rsid w:val="001C7B2D"/>
    <w:rsid w:val="001E746B"/>
    <w:rsid w:val="003011A3"/>
    <w:rsid w:val="0030362D"/>
    <w:rsid w:val="003627F1"/>
    <w:rsid w:val="00373575"/>
    <w:rsid w:val="005873C9"/>
    <w:rsid w:val="00644A4C"/>
    <w:rsid w:val="007524D6"/>
    <w:rsid w:val="00777E95"/>
    <w:rsid w:val="00816C34"/>
    <w:rsid w:val="0095285B"/>
    <w:rsid w:val="00A4515C"/>
    <w:rsid w:val="00D226E1"/>
    <w:rsid w:val="00E16249"/>
    <w:rsid w:val="00F6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87C16"/>
  <w15:chartTrackingRefBased/>
  <w15:docId w15:val="{105DB43A-EFB1-4FD3-A4BE-759C5D39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C3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C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16C34"/>
    <w:rPr>
      <w:sz w:val="18"/>
      <w:szCs w:val="18"/>
    </w:rPr>
  </w:style>
  <w:style w:type="paragraph" w:styleId="a5">
    <w:name w:val="footer"/>
    <w:basedOn w:val="a"/>
    <w:link w:val="a6"/>
    <w:uiPriority w:val="99"/>
    <w:unhideWhenUsed/>
    <w:rsid w:val="00816C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16C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天煜</dc:creator>
  <cp:keywords/>
  <dc:description/>
  <cp:lastModifiedBy>ZJU</cp:lastModifiedBy>
  <cp:revision>3</cp:revision>
  <dcterms:created xsi:type="dcterms:W3CDTF">2022-04-20T06:03:00Z</dcterms:created>
  <dcterms:modified xsi:type="dcterms:W3CDTF">2022-04-20T06:47:00Z</dcterms:modified>
</cp:coreProperties>
</file>