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附：公示内容</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1.项目名称：医学影像智能处理关键技术创新与应用</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2.申报奖项类别：科学技术</w:t>
      </w:r>
      <w:r w:rsidR="00231369">
        <w:rPr>
          <w:rFonts w:ascii="仿宋" w:eastAsia="仿宋" w:hAnsi="仿宋" w:cs="Times New Roman" w:hint="eastAsia"/>
          <w:color w:val="000000"/>
          <w:kern w:val="0"/>
          <w:sz w:val="28"/>
          <w:szCs w:val="28"/>
        </w:rPr>
        <w:t>进步</w:t>
      </w:r>
      <w:bookmarkStart w:id="0" w:name="_GoBack"/>
      <w:bookmarkEnd w:id="0"/>
      <w:r w:rsidRPr="00BD26C4">
        <w:rPr>
          <w:rFonts w:ascii="仿宋" w:eastAsia="仿宋" w:hAnsi="仿宋" w:cs="Times New Roman" w:hint="eastAsia"/>
          <w:color w:val="000000"/>
          <w:kern w:val="0"/>
          <w:sz w:val="28"/>
          <w:szCs w:val="28"/>
        </w:rPr>
        <w:t>奖</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3.主要完成单位（含排序）：浙江大学、微医集团（浙江）有限公司、浙江大学医学院附属第二医院、浙江大学温州研究院</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4.主要完成人（含排序）：吴健,应豪超,陈婷婷,陈晋泰,冯芮苇,廖杰远,姜晓红,徐红霞,林兰芬,姚克,吴育连</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5.项目简介</w:t>
      </w:r>
    </w:p>
    <w:p w:rsidR="00BD26C4" w:rsidRPr="00BD26C4" w:rsidRDefault="00BD26C4" w:rsidP="00BD26C4">
      <w:pPr>
        <w:rPr>
          <w:rFonts w:ascii="仿宋" w:eastAsia="仿宋" w:hAnsi="仿宋" w:cs="Times New Roman"/>
          <w:color w:val="000000"/>
          <w:kern w:val="0"/>
          <w:sz w:val="28"/>
          <w:szCs w:val="28"/>
        </w:rPr>
      </w:pPr>
      <w:r w:rsidRPr="00BD26C4">
        <w:rPr>
          <w:rFonts w:ascii="仿宋" w:eastAsia="仿宋" w:hAnsi="仿宋" w:cs="Times New Roman" w:hint="eastAsia"/>
          <w:color w:val="000000"/>
          <w:kern w:val="0"/>
          <w:sz w:val="28"/>
          <w:szCs w:val="28"/>
        </w:rPr>
        <w:t>6. 代表性论文（专著）</w:t>
      </w:r>
    </w:p>
    <w:p w:rsidR="00DA2E44" w:rsidRDefault="00BD26C4" w:rsidP="00BD26C4">
      <w:r w:rsidRPr="00BD26C4">
        <w:rPr>
          <w:rFonts w:ascii="仿宋" w:eastAsia="仿宋" w:hAnsi="仿宋" w:cs="Times New Roman" w:hint="eastAsia"/>
          <w:color w:val="000000"/>
          <w:kern w:val="0"/>
          <w:sz w:val="28"/>
          <w:szCs w:val="28"/>
        </w:rPr>
        <w:t>7. 主要知识产权证明</w:t>
      </w:r>
    </w:p>
    <w:p w:rsidR="00DA2E44" w:rsidRPr="00DA2E44" w:rsidRDefault="00DA2E44" w:rsidP="00DA2E44"/>
    <w:p w:rsidR="00DA2E44" w:rsidRDefault="00DA2E44" w:rsidP="00BD26C4"/>
    <w:p w:rsidR="00694208" w:rsidRDefault="00694208" w:rsidP="00DA2E44">
      <w:pPr>
        <w:spacing w:line="273" w:lineRule="auto"/>
        <w:jc w:val="center"/>
        <w:rPr>
          <w:rFonts w:ascii="仿宋" w:eastAsia="仿宋" w:hAnsi="仿宋" w:cs="Times New Roman"/>
          <w:b/>
          <w:color w:val="000000"/>
          <w:kern w:val="0"/>
          <w:sz w:val="28"/>
          <w:szCs w:val="28"/>
        </w:rPr>
      </w:pPr>
    </w:p>
    <w:p w:rsidR="00DA2E44" w:rsidRPr="00DA2E44" w:rsidRDefault="00BD26C4" w:rsidP="00DA2E44">
      <w:pPr>
        <w:spacing w:line="273" w:lineRule="auto"/>
        <w:jc w:val="center"/>
        <w:rPr>
          <w:rFonts w:ascii="仿宋" w:eastAsia="仿宋" w:hAnsi="仿宋" w:cs="Times New Roman"/>
          <w:b/>
          <w:color w:val="000000"/>
          <w:kern w:val="0"/>
          <w:sz w:val="28"/>
          <w:szCs w:val="28"/>
        </w:rPr>
      </w:pPr>
      <w:r>
        <w:rPr>
          <w:rFonts w:ascii="仿宋" w:eastAsia="仿宋" w:hAnsi="仿宋" w:cs="Times New Roman"/>
          <w:b/>
          <w:color w:val="000000"/>
          <w:kern w:val="0"/>
          <w:sz w:val="28"/>
          <w:szCs w:val="28"/>
        </w:rPr>
        <w:t>项目简介</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我国医学影像数据年增长率达到30%，但放射科医生数量年增长率仅为4%左右，两者增长率差距对比巨大。放射科医生数量不足且工作日益繁重，导致当前误诊漏诊率偏高、诊断等待时间长等问题尤为突出。基于人工智能的医疗影像智能化处理与应用具有重大现实意义。</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项目团队针对医学影像智能分析存在的数据有噪不全、数据标注受限、数据融合分析三大技术挑战，提出了一系列新的医学影像智能处理技术，主要科技创新内容如下：</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1）数据增强处理技术：针对部分医学影像数据存在有噪不全的问题，提出了基于重建的缺失模态合成模型、基于生成的模态转换模型以及基于迁移学习的模态超分辨生成模型，克服了传统数据缺失生成方法中难以有效提取复杂数据关联关系的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2）数据弱标处理技术：针对医学影像标注受限、标注成本高的问题，提出了自学习神经网络、代表性标注、主动自步学习、少样本学习等智能分析模型，克服传统深度学习方法高性能表现需满足标注样本量大、精细的像素级标注、高质量医学影像数据等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3）数据融合处理技术：针对多模态多类型临床医学影像数据融合困难的问</w:t>
      </w:r>
      <w:r w:rsidRPr="00DA2E44">
        <w:rPr>
          <w:rFonts w:ascii="仿宋_GB2312" w:eastAsia="仿宋_GB2312" w:hAnsi="Times New Roman" w:cs="Times New Roman" w:hint="eastAsia"/>
          <w:sz w:val="24"/>
          <w:szCs w:val="24"/>
        </w:rPr>
        <w:lastRenderedPageBreak/>
        <w:t>题，提出了注意力相互提升、特征级融合、交叉连接等新型多模态特征融合提取技术，克服单模态方法和传统多模态方法的表达欠缺、信息不全、关系信息丢失等不足。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 xml:space="preserve"> </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主要获得成果：项目团队在医学人工智能国际顶级期刊及会议上共发表相关高质量学术论文120余篇，授权国家发明专利30件、软著7项。获得国家卫健委颁发的“2019年全国医疗人工智能创新奖”，中国计算机学会2021年度科技进步优秀奖，医学人工智能顶级会议 MICCAI2019 竞赛一等奖 2 项、二等奖 1 项。以姚建铨院士为主任的科技成果鉴定委员会认为，成果具有显著的创新性，成果与技术指标尤其突出，成果总体达到国际领先水平。</w:t>
      </w:r>
    </w:p>
    <w:p w:rsidR="00DA2E44" w:rsidRPr="00DA2E44" w:rsidRDefault="00DA2E44" w:rsidP="00DA2E44">
      <w:pPr>
        <w:spacing w:line="273" w:lineRule="auto"/>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 xml:space="preserve"> </w:t>
      </w:r>
    </w:p>
    <w:p w:rsidR="00DA2E44" w:rsidRPr="00DA2E44" w:rsidRDefault="00DA2E44" w:rsidP="00DA2E44">
      <w:pPr>
        <w:rPr>
          <w:rFonts w:ascii="Times New Roman" w:eastAsia="宋体" w:hAnsi="Times New Roman" w:cs="Times New Roman"/>
          <w:szCs w:val="21"/>
        </w:rPr>
      </w:pPr>
      <w:r w:rsidRPr="00DA2E44">
        <w:rPr>
          <w:rFonts w:ascii="仿宋_GB2312" w:eastAsia="仿宋_GB2312" w:hAnsi="Times New Roman" w:cs="Times New Roman" w:hint="eastAsia"/>
          <w:sz w:val="24"/>
          <w:szCs w:val="24"/>
        </w:rPr>
        <w:t>社会经济效益：项目成果孵化了肺结节、眼底、阴道镜、胃癌病理等二十余个专科领域的 影像辅助诊断系统，部署于微医云平台，服务浙大二院、温州市人民医院等7900余家医院和基层医疗机构，为约2.5亿用户提供服务。项目成果赋能云诊车、云诊包、两癌筛查车等“流动医院”，覆盖15省39地市55区县，获得了国务院孙春兰副总理授予的 2019 年全国脱贫攻坚奖。</w:t>
      </w:r>
      <w:r w:rsidRPr="00DA2E44">
        <w:rPr>
          <w:rFonts w:ascii="仿宋_GB2312" w:eastAsia="仿宋_GB2312" w:hAnsi="Times New Roman" w:cs="Times New Roman" w:hint="eastAsia"/>
          <w:color w:val="000000"/>
          <w:sz w:val="24"/>
          <w:szCs w:val="24"/>
        </w:rPr>
        <w:t>本项目共计新增销售收入20.29亿元，新增利润3.39亿元，新增税收1.22亿元。</w:t>
      </w: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Pr="00DA2E44" w:rsidRDefault="00DA2E44" w:rsidP="00DA2E44">
      <w:pPr>
        <w:widowControl/>
        <w:jc w:val="center"/>
        <w:rPr>
          <w:rFonts w:ascii="Calibri" w:eastAsia="宋体" w:hAnsi="Calibri" w:cs="Calibri"/>
          <w:b/>
          <w:szCs w:val="21"/>
        </w:rPr>
      </w:pPr>
      <w:r w:rsidRPr="00DA2E44">
        <w:rPr>
          <w:rFonts w:ascii="仿宋" w:eastAsia="仿宋" w:hAnsi="仿宋" w:cs="Times New Roman" w:hint="eastAsia"/>
          <w:b/>
          <w:color w:val="000000"/>
          <w:kern w:val="0"/>
          <w:sz w:val="28"/>
          <w:szCs w:val="28"/>
        </w:rPr>
        <w:t>代表性论文（专著）列表</w:t>
      </w:r>
    </w:p>
    <w:tbl>
      <w:tblPr>
        <w:tblW w:w="93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2"/>
        <w:gridCol w:w="3894"/>
        <w:gridCol w:w="716"/>
        <w:gridCol w:w="992"/>
        <w:gridCol w:w="782"/>
      </w:tblGrid>
      <w:tr w:rsidR="00DA2E44" w:rsidRPr="00DA2E44" w:rsidTr="00633AD4">
        <w:trPr>
          <w:trHeight w:val="907"/>
          <w:jc w:val="center"/>
        </w:trPr>
        <w:tc>
          <w:tcPr>
            <w:tcW w:w="2982" w:type="dxa"/>
            <w:tcBorders>
              <w:top w:val="single" w:sz="12"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作</w:t>
            </w:r>
            <w:r w:rsidRPr="00DA2E44">
              <w:rPr>
                <w:rFonts w:ascii="Times New Roman" w:eastAsia="仿宋_GB2312" w:hAnsi="Times New Roman" w:cs="Times New Roman"/>
                <w:sz w:val="24"/>
                <w:szCs w:val="24"/>
              </w:rPr>
              <w:t xml:space="preserve"> </w:t>
            </w:r>
            <w:r w:rsidRPr="00DA2E44">
              <w:rPr>
                <w:rFonts w:ascii="仿宋_GB2312" w:eastAsia="仿宋_GB2312" w:hAnsi="Times New Roman" w:cs="Calibri" w:hint="eastAsia"/>
                <w:sz w:val="24"/>
                <w:szCs w:val="24"/>
              </w:rPr>
              <w:t>者</w:t>
            </w:r>
          </w:p>
        </w:tc>
        <w:tc>
          <w:tcPr>
            <w:tcW w:w="3894" w:type="dxa"/>
            <w:tcBorders>
              <w:top w:val="single" w:sz="12"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论文专著名称</w:t>
            </w:r>
            <w:r w:rsidRPr="00DA2E44">
              <w:rPr>
                <w:rFonts w:ascii="Times New Roman" w:eastAsia="仿宋_GB2312" w:hAnsi="Times New Roman" w:cs="Times New Roman"/>
                <w:sz w:val="24"/>
                <w:szCs w:val="24"/>
              </w:rPr>
              <w:t>/</w:t>
            </w:r>
            <w:r w:rsidRPr="00DA2E44">
              <w:rPr>
                <w:rFonts w:ascii="仿宋_GB2312" w:eastAsia="仿宋_GB2312" w:hAnsi="Times New Roman" w:cs="Calibri" w:hint="eastAsia"/>
                <w:sz w:val="24"/>
                <w:szCs w:val="24"/>
              </w:rPr>
              <w:t>刊物</w:t>
            </w:r>
          </w:p>
        </w:tc>
        <w:tc>
          <w:tcPr>
            <w:tcW w:w="716"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年卷</w:t>
            </w:r>
          </w:p>
          <w:p w:rsidR="00DA2E44" w:rsidRPr="00DA2E44" w:rsidRDefault="00DA2E44" w:rsidP="00DA2E44">
            <w:pPr>
              <w:jc w:val="center"/>
              <w:rPr>
                <w:rFonts w:ascii="Calibri" w:eastAsia="仿宋_GB2312" w:hAnsi="Calibri" w:cs="Calibri"/>
                <w:szCs w:val="21"/>
              </w:rPr>
            </w:pPr>
            <w:r w:rsidRPr="00DA2E44">
              <w:rPr>
                <w:rFonts w:ascii="仿宋_GB2312" w:eastAsia="仿宋_GB2312" w:hAnsi="Times New Roman" w:cs="Calibri" w:hint="eastAsia"/>
                <w:sz w:val="24"/>
                <w:szCs w:val="24"/>
              </w:rPr>
              <w:t>页码</w:t>
            </w:r>
          </w:p>
        </w:tc>
        <w:tc>
          <w:tcPr>
            <w:tcW w:w="99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发表</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时间</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（年、月）</w:t>
            </w:r>
          </w:p>
        </w:tc>
        <w:tc>
          <w:tcPr>
            <w:tcW w:w="78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他引</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总次数</w:t>
            </w:r>
          </w:p>
        </w:tc>
      </w:tr>
      <w:tr w:rsidR="00DA2E44" w:rsidRPr="00DA2E44" w:rsidTr="00633AD4">
        <w:trPr>
          <w:trHeight w:val="1767"/>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Zhiwen Lin, Ruoqian Guo, Yanjie Wang, Bian Wu, Tingting Chen, Wenzhe Wang,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Framework for Identifying Diabetic Retinopathy based on Anti-noise Detection and Attention-based Fusion/</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International Conference on Medical Image Computing and Computer Assisted Intervention</w:t>
            </w:r>
          </w:p>
        </w:tc>
        <w:tc>
          <w:tcPr>
            <w:tcW w:w="716"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2018:74-82</w:t>
            </w:r>
          </w:p>
          <w:p w:rsidR="00DA2E44" w:rsidRPr="00DA2E44" w:rsidRDefault="00DA2E44" w:rsidP="00DA2E44">
            <w:pPr>
              <w:rPr>
                <w:rFonts w:ascii="Calibri" w:eastAsia="仿宋_GB2312" w:hAnsi="Calibri" w:cs="Calibri"/>
                <w:szCs w:val="21"/>
              </w:rPr>
            </w:pP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581"/>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Wenzhe Wang, Yifei Lu, Bian Wu, Tingting Chen,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Deep Active Self-paced Learning for Accurate Pulmonary Nodule Segmentation/ International Conference on Medical Image Computing and Computer Assisted Intervention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2018:723-731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364"/>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lastRenderedPageBreak/>
              <w:t>Xingde Ying, Heng Guo, Kai Ma, Jian Wu, Zhengxin Weng, Yefeng Zheng</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X2CT-GAN- Reconstructing CT from Biplanar X-Rays with Generative Adversarial Networks/</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IEEE Conference on Computer Vision and Pattern Recognition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2019:</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10619-10628</w:t>
            </w:r>
          </w:p>
        </w:tc>
        <w:tc>
          <w:tcPr>
            <w:tcW w:w="99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2019</w:t>
            </w:r>
          </w:p>
          <w:p w:rsidR="00DA2E44" w:rsidRPr="00DA2E44" w:rsidRDefault="00DA2E44" w:rsidP="00DA2E44">
            <w:pPr>
              <w:rPr>
                <w:rFonts w:ascii="Calibri" w:eastAsia="仿宋_GB2312" w:hAnsi="Calibri" w:cs="Calibri"/>
                <w:szCs w:val="21"/>
              </w:rPr>
            </w:pPr>
          </w:p>
          <w:p w:rsidR="00DA2E44" w:rsidRPr="00DA2E44" w:rsidRDefault="00DA2E44" w:rsidP="00DA2E44">
            <w:pPr>
              <w:rPr>
                <w:rFonts w:ascii="Calibri" w:eastAsia="仿宋_GB2312" w:hAnsi="Calibri" w:cs="Calibri"/>
                <w:szCs w:val="21"/>
              </w:rPr>
            </w:pPr>
          </w:p>
          <w:p w:rsidR="00DA2E44" w:rsidRPr="00DA2E44" w:rsidRDefault="00DA2E44" w:rsidP="00DA2E44">
            <w:pPr>
              <w:rPr>
                <w:rFonts w:ascii="Calibri" w:eastAsia="仿宋_GB2312" w:hAnsi="Calibri" w:cs="Calibri"/>
                <w:szCs w:val="21"/>
              </w:rPr>
            </w:pP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669"/>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Haochao Ying, Xuechen Liu, Jingjing Gu, Ruiwei Feng, Tingting Chen, Honghao Gao,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Transfer Learning Based Super-Resolution Microscopy for Biopsy Slice Images: The Joint Methods Perspective/</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IEEE/ACM Transactions on Computational Biology and Bioinformatics</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19-27</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268"/>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Biwen Lei, Qingyu Song, Haochao Ying,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Hierarchical Graph Network for 3D Object Detection on Point Clouds/ IEEE Conference on Computer Vision and Pattern Recognition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2020:392-401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399"/>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Ruiwei Feng, Xiangshang Zheng, Tianxiang Gao, Jintai Chen, Wenzhe Wang,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Interactive Few-shot Learning: Limited Supervision, Better Medical Image Segmentation/ IEEE Transactions on Medical Imaging</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2575-2588</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266"/>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Xiangshang Zheng, Hongyun Yu,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Electrocardio Panorama: Synthesizing New ECG Views with Self-supervision/ International Joint Conference on Artificial Intelligence</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553"/>
          <w:jc w:val="center"/>
        </w:trPr>
        <w:tc>
          <w:tcPr>
            <w:tcW w:w="8584" w:type="dxa"/>
            <w:gridSpan w:val="4"/>
            <w:tcBorders>
              <w:top w:val="single" w:sz="6" w:space="0" w:color="auto"/>
              <w:left w:val="single" w:sz="12" w:space="0" w:color="auto"/>
              <w:bottom w:val="single" w:sz="12" w:space="0" w:color="auto"/>
              <w:right w:val="single" w:sz="6" w:space="0" w:color="auto"/>
            </w:tcBorders>
            <w:vAlign w:val="center"/>
            <w:hideMark/>
          </w:tcPr>
          <w:p w:rsidR="00DA2E44" w:rsidRPr="00DA2E44" w:rsidRDefault="00DA2E44" w:rsidP="00DA2E44">
            <w:pPr>
              <w:jc w:val="center"/>
              <w:rPr>
                <w:rFonts w:ascii="Calibri" w:eastAsia="宋体" w:hAnsi="Calibri" w:cs="Calibri"/>
                <w:szCs w:val="21"/>
              </w:rPr>
            </w:pPr>
            <w:r w:rsidRPr="00DA2E44">
              <w:rPr>
                <w:rFonts w:ascii="宋体" w:eastAsia="宋体" w:hAnsi="宋体" w:cs="Calibri" w:hint="eastAsia"/>
                <w:szCs w:val="21"/>
              </w:rPr>
              <w:t>合</w:t>
            </w:r>
            <w:r w:rsidRPr="00DA2E44">
              <w:rPr>
                <w:rFonts w:ascii="Times New Roman" w:eastAsia="宋体" w:hAnsi="Times New Roman" w:cs="Times New Roman"/>
                <w:szCs w:val="21"/>
              </w:rPr>
              <w:t xml:space="preserve">  </w:t>
            </w:r>
            <w:r w:rsidRPr="00DA2E44">
              <w:rPr>
                <w:rFonts w:ascii="宋体" w:eastAsia="宋体" w:hAnsi="宋体" w:cs="Calibri" w:hint="eastAsia"/>
                <w:szCs w:val="21"/>
              </w:rPr>
              <w:t>计</w:t>
            </w:r>
            <w:r w:rsidRPr="00DA2E44">
              <w:rPr>
                <w:rFonts w:ascii="Times New Roman" w:eastAsia="宋体" w:hAnsi="Times New Roman" w:cs="Times New Roman"/>
                <w:szCs w:val="21"/>
              </w:rPr>
              <w:t>:</w:t>
            </w:r>
          </w:p>
        </w:tc>
        <w:tc>
          <w:tcPr>
            <w:tcW w:w="782" w:type="dxa"/>
            <w:tcBorders>
              <w:top w:val="single" w:sz="6" w:space="0" w:color="auto"/>
              <w:left w:val="nil"/>
              <w:bottom w:val="single" w:sz="12" w:space="0" w:color="auto"/>
              <w:right w:val="single" w:sz="6" w:space="0" w:color="auto"/>
            </w:tcBorders>
            <w:vAlign w:val="center"/>
            <w:hideMark/>
          </w:tcPr>
          <w:p w:rsidR="00DA2E44" w:rsidRPr="00DA2E44" w:rsidRDefault="00DA2E44" w:rsidP="00DA2E44">
            <w:pPr>
              <w:jc w:val="center"/>
              <w:rPr>
                <w:rFonts w:ascii="Calibri" w:eastAsia="宋体" w:hAnsi="Calibri" w:cs="Calibri"/>
                <w:szCs w:val="21"/>
              </w:rPr>
            </w:pPr>
          </w:p>
        </w:tc>
      </w:tr>
    </w:tbl>
    <w:p w:rsidR="00DA2E44" w:rsidRDefault="00DA2E44">
      <w:pPr>
        <w:widowControl/>
        <w:jc w:val="left"/>
        <w:sectPr w:rsidR="00DA2E44" w:rsidSect="00DA2E44">
          <w:pgSz w:w="11906" w:h="16838"/>
          <w:pgMar w:top="1440" w:right="1800" w:bottom="1440" w:left="1800" w:header="851" w:footer="992" w:gutter="0"/>
          <w:cols w:space="425"/>
          <w:docGrid w:type="lines" w:linePitch="312"/>
        </w:sectPr>
      </w:pPr>
    </w:p>
    <w:p w:rsidR="00DA2E44" w:rsidRDefault="00DA2E44" w:rsidP="00DA2E44">
      <w:pPr>
        <w:tabs>
          <w:tab w:val="left" w:pos="645"/>
        </w:tabs>
      </w:pPr>
    </w:p>
    <w:p w:rsidR="00DA2E44" w:rsidRPr="00DA2E44" w:rsidRDefault="00BD26C4" w:rsidP="00DA2E44">
      <w:pPr>
        <w:widowControl/>
        <w:jc w:val="center"/>
        <w:rPr>
          <w:rFonts w:ascii="仿宋" w:eastAsia="仿宋" w:hAnsi="仿宋" w:cs="Times New Roman"/>
          <w:b/>
          <w:color w:val="000000"/>
          <w:kern w:val="0"/>
          <w:sz w:val="28"/>
          <w:szCs w:val="28"/>
        </w:rPr>
      </w:pPr>
      <w:r>
        <w:rPr>
          <w:rFonts w:ascii="仿宋" w:eastAsia="仿宋" w:hAnsi="仿宋" w:cs="Times New Roman" w:hint="eastAsia"/>
          <w:b/>
          <w:color w:val="000000"/>
          <w:kern w:val="0"/>
          <w:sz w:val="28"/>
          <w:szCs w:val="28"/>
        </w:rPr>
        <w:t>主要知识产权证明目录</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35"/>
        <w:gridCol w:w="1844"/>
        <w:gridCol w:w="1275"/>
        <w:gridCol w:w="1418"/>
        <w:gridCol w:w="1276"/>
        <w:gridCol w:w="2271"/>
        <w:gridCol w:w="1694"/>
      </w:tblGrid>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知识产权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（标准规范）类别</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知识产权（标准规范）具体名称</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国家</w:t>
            </w:r>
          </w:p>
          <w:p w:rsidR="00031A38" w:rsidRPr="00DA2E44" w:rsidRDefault="00031A38" w:rsidP="00A26EB2">
            <w:pPr>
              <w:jc w:val="center"/>
              <w:rPr>
                <w:rFonts w:ascii="Calibri" w:eastAsia="仿宋_GB2312" w:hAnsi="Calibri" w:cs="Calibri"/>
                <w:bCs/>
                <w:kern w:val="0"/>
                <w:sz w:val="24"/>
                <w:szCs w:val="24"/>
              </w:rPr>
            </w:pPr>
            <w:r w:rsidRPr="00DA2E44">
              <w:rPr>
                <w:rFonts w:ascii="仿宋_GB2312" w:eastAsia="仿宋_GB2312" w:hAnsi="Times New Roman" w:cs="Calibri" w:hint="eastAsia"/>
                <w:bCs/>
                <w:kern w:val="0"/>
                <w:sz w:val="24"/>
                <w:szCs w:val="24"/>
              </w:rPr>
              <w:t>（地区）</w:t>
            </w:r>
          </w:p>
        </w:tc>
        <w:tc>
          <w:tcPr>
            <w:tcW w:w="184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授权号</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（标准规范编号）</w:t>
            </w:r>
          </w:p>
        </w:tc>
        <w:tc>
          <w:tcPr>
            <w:tcW w:w="1275" w:type="dxa"/>
            <w:tcBorders>
              <w:top w:val="single" w:sz="4" w:space="0" w:color="auto"/>
              <w:left w:val="nil"/>
              <w:bottom w:val="single" w:sz="4" w:space="0" w:color="auto"/>
              <w:right w:val="single" w:sz="4" w:space="0" w:color="auto"/>
            </w:tcBorders>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授权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（标准发布）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日期</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证书编号（标准规范批准发布部门）</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权利人（标准规范起草单位）</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发明人（标准规范起草人）</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发明专利（标准规范）有效状态</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一种基于伪标签迭代标注的胃癌病理切片标注补全方法</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Calibri" w:eastAsia="仿宋_GB2312" w:hAnsi="Calibri" w:cs="Calibri"/>
                <w:sz w:val="24"/>
                <w:szCs w:val="24"/>
              </w:rPr>
            </w:pPr>
          </w:p>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ZL201810095649.4</w:t>
            </w:r>
          </w:p>
        </w:tc>
        <w:tc>
          <w:tcPr>
            <w:tcW w:w="127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2021-8-3</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第</w:t>
            </w:r>
            <w:r w:rsidRPr="00DA2E44">
              <w:rPr>
                <w:rFonts w:ascii="Times New Roman" w:eastAsia="仿宋_GB2312" w:hAnsi="Times New Roman" w:cs="Times New Roman"/>
                <w:sz w:val="24"/>
                <w:szCs w:val="24"/>
              </w:rPr>
              <w:t>4593854</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吴健、王彦杰、王文哲、刘雪晨、吴边、陈为、吴福理、吴朝晖</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有效</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基于通道信息多模态网络的宫颈活检区域识别方法及装置</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ZL201810092566.X</w:t>
            </w:r>
          </w:p>
        </w:tc>
        <w:tc>
          <w:tcPr>
            <w:tcW w:w="127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2020-11-10</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第</w:t>
            </w:r>
            <w:r w:rsidRPr="00DA2E44">
              <w:rPr>
                <w:rFonts w:ascii="Times New Roman" w:eastAsia="仿宋_GB2312" w:hAnsi="Times New Roman" w:cs="Times New Roman"/>
                <w:sz w:val="24"/>
                <w:szCs w:val="24"/>
              </w:rPr>
              <w:t>4088460</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吴健、应兴德、陈婷婷、马鑫军、吕卫国、袁春女、姚晔俪、王新宇、吴边、陈为、吴福理、吴朝晖</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有效</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tcPr>
          <w:p w:rsidR="00031A38" w:rsidRPr="00DA2E44" w:rsidRDefault="00031A38" w:rsidP="00A26EB2">
            <w:pP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基于多模态检测网络的宫颈活检区域辅助识别方法及装置</w:t>
            </w:r>
          </w:p>
        </w:tc>
        <w:tc>
          <w:tcPr>
            <w:tcW w:w="935"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Times New Roman" w:eastAsia="仿宋_GB2312" w:hAnsi="Times New Roman" w:cs="Times New Roman"/>
                <w:sz w:val="24"/>
                <w:szCs w:val="24"/>
              </w:rPr>
            </w:pPr>
            <w:r w:rsidRPr="00560779">
              <w:rPr>
                <w:rFonts w:ascii="Times New Roman" w:eastAsia="仿宋_GB2312" w:hAnsi="Times New Roman" w:cs="Times New Roman"/>
                <w:sz w:val="24"/>
                <w:szCs w:val="24"/>
              </w:rPr>
              <w:t>ZL201810092480.7</w:t>
            </w:r>
          </w:p>
        </w:tc>
        <w:tc>
          <w:tcPr>
            <w:tcW w:w="1275"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Times New Roman" w:eastAsia="仿宋_GB2312" w:hAnsi="Times New Roman" w:cs="Times New Roman"/>
                <w:sz w:val="24"/>
                <w:szCs w:val="24"/>
              </w:rPr>
            </w:pPr>
            <w:r w:rsidRPr="00560779">
              <w:rPr>
                <w:rFonts w:ascii="Times New Roman" w:eastAsia="仿宋_GB2312" w:hAnsi="Times New Roman" w:cs="Times New Roman"/>
                <w:sz w:val="24"/>
                <w:szCs w:val="24"/>
              </w:rPr>
              <w:t>2020-12-29</w:t>
            </w:r>
          </w:p>
        </w:tc>
        <w:tc>
          <w:tcPr>
            <w:tcW w:w="1418"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第</w:t>
            </w:r>
            <w:r w:rsidRPr="00560779">
              <w:rPr>
                <w:rFonts w:ascii="仿宋_GB2312" w:eastAsia="仿宋_GB2312" w:hAnsi="Times New Roman" w:cs="Calibri"/>
                <w:sz w:val="24"/>
                <w:szCs w:val="24"/>
              </w:rPr>
              <w:t>4177553</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tcPr>
          <w:p w:rsidR="00031A38" w:rsidRPr="00DA2E44" w:rsidRDefault="00031A38" w:rsidP="00A26EB2">
            <w:pP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吴健、应兴德、陈婷婷、马鑫军、吕卫国、袁春女、姚晔俪、王新宇、吴边、陈为、吴福理、吴朝晖</w:t>
            </w:r>
          </w:p>
        </w:tc>
        <w:tc>
          <w:tcPr>
            <w:tcW w:w="1694" w:type="dxa"/>
            <w:tcBorders>
              <w:top w:val="single" w:sz="4" w:space="0" w:color="auto"/>
              <w:left w:val="nil"/>
              <w:bottom w:val="single" w:sz="4" w:space="0" w:color="auto"/>
              <w:right w:val="single" w:sz="4" w:space="0" w:color="auto"/>
            </w:tcBorders>
            <w:vAlign w:val="center"/>
          </w:tcPr>
          <w:p w:rsidR="00031A38" w:rsidRPr="00DA2E44" w:rsidRDefault="00BC2E5F" w:rsidP="00A26EB2">
            <w:pPr>
              <w:jc w:val="center"/>
              <w:rPr>
                <w:rFonts w:ascii="仿宋_GB2312" w:eastAsia="仿宋_GB2312" w:hAnsi="Times New Roman" w:cs="Calibri"/>
                <w:sz w:val="24"/>
                <w:szCs w:val="24"/>
              </w:rPr>
            </w:pPr>
            <w:r>
              <w:rPr>
                <w:rFonts w:ascii="仿宋_GB2312" w:eastAsia="仿宋_GB2312" w:hAnsi="Times New Roman" w:cs="Calibri"/>
                <w:sz w:val="24"/>
                <w:szCs w:val="24"/>
              </w:rPr>
              <w:t>有效</w:t>
            </w:r>
          </w:p>
        </w:tc>
      </w:tr>
    </w:tbl>
    <w:p w:rsidR="00DA2E44" w:rsidRPr="00031A38" w:rsidRDefault="00DA2E44" w:rsidP="00DA2E44">
      <w:pPr>
        <w:tabs>
          <w:tab w:val="left" w:pos="645"/>
        </w:tabs>
      </w:pPr>
    </w:p>
    <w:sectPr w:rsidR="00DA2E44" w:rsidRPr="00031A38" w:rsidSect="00DA2E4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827" w:rsidRDefault="00264827" w:rsidP="00031A38">
      <w:r>
        <w:separator/>
      </w:r>
    </w:p>
  </w:endnote>
  <w:endnote w:type="continuationSeparator" w:id="0">
    <w:p w:rsidR="00264827" w:rsidRDefault="00264827" w:rsidP="000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Fang Song"/>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827" w:rsidRDefault="00264827" w:rsidP="00031A38">
      <w:r>
        <w:separator/>
      </w:r>
    </w:p>
  </w:footnote>
  <w:footnote w:type="continuationSeparator" w:id="0">
    <w:p w:rsidR="00264827" w:rsidRDefault="00264827" w:rsidP="0003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44"/>
    <w:rsid w:val="00031A38"/>
    <w:rsid w:val="00161444"/>
    <w:rsid w:val="001E23FE"/>
    <w:rsid w:val="00231369"/>
    <w:rsid w:val="00264827"/>
    <w:rsid w:val="00384B8D"/>
    <w:rsid w:val="00484267"/>
    <w:rsid w:val="005C4525"/>
    <w:rsid w:val="00694208"/>
    <w:rsid w:val="0076598D"/>
    <w:rsid w:val="00792CF0"/>
    <w:rsid w:val="00835ED4"/>
    <w:rsid w:val="008377DC"/>
    <w:rsid w:val="009E7B61"/>
    <w:rsid w:val="00B65E65"/>
    <w:rsid w:val="00BC2E5F"/>
    <w:rsid w:val="00BD26C4"/>
    <w:rsid w:val="00DA2E44"/>
    <w:rsid w:val="00F211E8"/>
    <w:rsid w:val="00F33BF0"/>
    <w:rsid w:val="00FA72BE"/>
    <w:rsid w:val="00FE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24A5D-FDBB-47B5-93CC-94371C6E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33B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A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1A38"/>
    <w:rPr>
      <w:sz w:val="18"/>
      <w:szCs w:val="18"/>
    </w:rPr>
  </w:style>
  <w:style w:type="paragraph" w:styleId="a5">
    <w:name w:val="footer"/>
    <w:basedOn w:val="a"/>
    <w:link w:val="a6"/>
    <w:uiPriority w:val="99"/>
    <w:unhideWhenUsed/>
    <w:rsid w:val="00031A38"/>
    <w:pPr>
      <w:tabs>
        <w:tab w:val="center" w:pos="4153"/>
        <w:tab w:val="right" w:pos="8306"/>
      </w:tabs>
      <w:snapToGrid w:val="0"/>
      <w:jc w:val="left"/>
    </w:pPr>
    <w:rPr>
      <w:sz w:val="18"/>
      <w:szCs w:val="18"/>
    </w:rPr>
  </w:style>
  <w:style w:type="character" w:customStyle="1" w:styleId="a6">
    <w:name w:val="页脚 字符"/>
    <w:basedOn w:val="a0"/>
    <w:link w:val="a5"/>
    <w:uiPriority w:val="99"/>
    <w:rsid w:val="00031A38"/>
    <w:rPr>
      <w:sz w:val="18"/>
      <w:szCs w:val="18"/>
    </w:rPr>
  </w:style>
  <w:style w:type="paragraph" w:customStyle="1" w:styleId="11">
    <w:name w:val="标题1工作手册"/>
    <w:basedOn w:val="1"/>
    <w:qFormat/>
    <w:rsid w:val="00F33BF0"/>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eastAsia="宋体" w:hAnsi="华文中宋" w:cs="Times New Roman"/>
      <w:sz w:val="36"/>
      <w:szCs w:val="36"/>
    </w:rPr>
  </w:style>
  <w:style w:type="character" w:customStyle="1" w:styleId="10">
    <w:name w:val="标题 1 字符"/>
    <w:basedOn w:val="a0"/>
    <w:link w:val="1"/>
    <w:uiPriority w:val="9"/>
    <w:rsid w:val="00F33BF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蒋秀芝</dc:creator>
  <cp:lastModifiedBy>ZJU</cp:lastModifiedBy>
  <cp:revision>4</cp:revision>
  <cp:lastPrinted>2022-04-19T06:40:00Z</cp:lastPrinted>
  <dcterms:created xsi:type="dcterms:W3CDTF">2022-04-20T06:05:00Z</dcterms:created>
  <dcterms:modified xsi:type="dcterms:W3CDTF">2022-04-20T06:55:00Z</dcterms:modified>
</cp:coreProperties>
</file>