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96" w:lineRule="exact"/>
        <w:jc w:val="left"/>
        <w:rPr>
          <w:b/>
          <w:sz w:val="32"/>
          <w:szCs w:val="32"/>
        </w:rPr>
      </w:pPr>
      <w:r>
        <w:rPr>
          <w:rFonts w:hint="eastAsia"/>
          <w:b/>
          <w:sz w:val="32"/>
          <w:szCs w:val="32"/>
        </w:rPr>
        <w:t>附件2.</w:t>
      </w:r>
    </w:p>
    <w:p>
      <w:pPr>
        <w:spacing w:after="50" w:line="596" w:lineRule="exact"/>
        <w:jc w:val="center"/>
        <w:rPr>
          <w:rFonts w:eastAsia="华文中宋"/>
          <w:b/>
          <w:color w:val="000000"/>
          <w:kern w:val="0"/>
          <w:sz w:val="44"/>
          <w:szCs w:val="44"/>
        </w:rPr>
      </w:pPr>
      <w:r>
        <w:rPr>
          <w:rFonts w:eastAsia="华文中宋"/>
          <w:b/>
          <w:color w:val="000000"/>
          <w:kern w:val="0"/>
          <w:sz w:val="44"/>
          <w:szCs w:val="44"/>
        </w:rPr>
        <w:t>浙江省高级人民法院</w:t>
      </w:r>
    </w:p>
    <w:p>
      <w:pPr>
        <w:spacing w:line="596" w:lineRule="exact"/>
        <w:jc w:val="center"/>
        <w:rPr>
          <w:b/>
        </w:rPr>
      </w:pPr>
      <w:bookmarkStart w:id="0" w:name="_GoBack"/>
      <w:r>
        <w:rPr>
          <w:rFonts w:eastAsia="华文中宋"/>
          <w:b/>
          <w:color w:val="000000"/>
          <w:kern w:val="0"/>
          <w:sz w:val="44"/>
          <w:szCs w:val="44"/>
        </w:rPr>
        <w:t>知识产权审判技术专家工作办法（试行）</w:t>
      </w:r>
    </w:p>
    <w:bookmarkEnd w:id="0"/>
    <w:p>
      <w:pPr>
        <w:spacing w:line="596" w:lineRule="exact"/>
        <w:ind w:firstLine="620" w:firstLineChars="200"/>
        <w:jc w:val="center"/>
        <w:rPr>
          <w:sz w:val="32"/>
          <w:szCs w:val="32"/>
        </w:rPr>
      </w:pPr>
    </w:p>
    <w:p>
      <w:pPr>
        <w:spacing w:line="596" w:lineRule="exact"/>
        <w:ind w:firstLine="620" w:firstLineChars="200"/>
        <w:rPr>
          <w:rFonts w:ascii="仿宋_GB2312"/>
          <w:sz w:val="32"/>
          <w:szCs w:val="32"/>
        </w:rPr>
      </w:pPr>
      <w:r>
        <w:rPr>
          <w:rFonts w:hint="eastAsia" w:ascii="仿宋_GB2312"/>
          <w:sz w:val="32"/>
          <w:szCs w:val="32"/>
        </w:rPr>
        <w:t>为全面推进技术专家参与知识产权审判工作机制改革，充分发挥技术专家在知识产权审判工作中作用，进一步提升我省知识产权案件审判的质量和效率，</w:t>
      </w:r>
      <w:r>
        <w:rPr>
          <w:rFonts w:hint="eastAsia" w:ascii="仿宋_GB2312"/>
          <w:color w:val="000000"/>
          <w:kern w:val="0"/>
          <w:sz w:val="32"/>
          <w:szCs w:val="32"/>
        </w:rPr>
        <w:t>结合我省法院知识产权审判工作实际，</w:t>
      </w:r>
      <w:r>
        <w:rPr>
          <w:rFonts w:hint="eastAsia" w:ascii="仿宋_GB2312"/>
          <w:sz w:val="32"/>
          <w:szCs w:val="32"/>
        </w:rPr>
        <w:t>制定本办法。</w:t>
      </w:r>
    </w:p>
    <w:p>
      <w:pPr>
        <w:spacing w:line="596" w:lineRule="exact"/>
        <w:ind w:firstLine="620" w:firstLineChars="200"/>
        <w:rPr>
          <w:rFonts w:ascii="仿宋_GB2312"/>
          <w:sz w:val="32"/>
          <w:szCs w:val="32"/>
        </w:rPr>
      </w:pPr>
      <w:r>
        <w:rPr>
          <w:rFonts w:hint="eastAsia" w:ascii="黑体" w:hAnsi="黑体" w:eastAsia="黑体"/>
          <w:sz w:val="32"/>
          <w:szCs w:val="32"/>
        </w:rPr>
        <w:t xml:space="preserve">第一条 </w:t>
      </w:r>
      <w:r>
        <w:rPr>
          <w:rFonts w:hint="eastAsia" w:ascii="仿宋_GB2312"/>
          <w:sz w:val="32"/>
          <w:szCs w:val="32"/>
        </w:rPr>
        <w:t>在教学、科研机构或者相关专业技术领域具有副高以上职称，或者虽不具有副高以上职称但在相关技术领域具有专业特长、有一定知名度并经当地科技部门推荐的技术专家可以入选人民法院知识产权审判技术专家库。</w:t>
      </w:r>
    </w:p>
    <w:p>
      <w:pPr>
        <w:spacing w:line="596" w:lineRule="exact"/>
        <w:ind w:firstLine="620" w:firstLineChars="200"/>
        <w:rPr>
          <w:rFonts w:ascii="仿宋_GB2312"/>
          <w:sz w:val="32"/>
          <w:szCs w:val="32"/>
        </w:rPr>
      </w:pPr>
      <w:r>
        <w:rPr>
          <w:rFonts w:hint="eastAsia" w:ascii="黑体" w:hAnsi="黑体" w:eastAsia="黑体"/>
          <w:sz w:val="32"/>
          <w:szCs w:val="32"/>
        </w:rPr>
        <w:t xml:space="preserve">第二条 </w:t>
      </w:r>
      <w:r>
        <w:rPr>
          <w:rFonts w:hint="eastAsia" w:ascii="仿宋_GB2312"/>
          <w:sz w:val="32"/>
          <w:szCs w:val="32"/>
        </w:rPr>
        <w:t>技术专家实行聘任制。省法院和各中级人民法院应当根据审判工作实际需要，经当地科技部门推荐并征得专家本人同意，聘任其为知识产权审判技术专家，并负责对所聘任技术专家的管理、使用和培训工作。</w:t>
      </w:r>
    </w:p>
    <w:p>
      <w:pPr>
        <w:spacing w:line="596" w:lineRule="exact"/>
        <w:ind w:firstLine="620" w:firstLineChars="200"/>
        <w:rPr>
          <w:rFonts w:ascii="仿宋_GB2312"/>
          <w:sz w:val="32"/>
          <w:szCs w:val="32"/>
        </w:rPr>
      </w:pPr>
      <w:r>
        <w:rPr>
          <w:rFonts w:hint="eastAsia" w:ascii="仿宋_GB2312"/>
          <w:sz w:val="32"/>
          <w:szCs w:val="32"/>
        </w:rPr>
        <w:t>有知识产权案件管辖权的基层法院可以根据审判工作实际需要，视情聘任部分知识产权审判技术专家。</w:t>
      </w:r>
    </w:p>
    <w:p>
      <w:pPr>
        <w:spacing w:line="596" w:lineRule="exact"/>
        <w:ind w:firstLine="620" w:firstLineChars="200"/>
        <w:rPr>
          <w:rFonts w:ascii="仿宋_GB2312"/>
          <w:sz w:val="32"/>
          <w:szCs w:val="32"/>
        </w:rPr>
      </w:pPr>
      <w:r>
        <w:rPr>
          <w:rFonts w:hint="eastAsia" w:ascii="黑体" w:hAnsi="黑体" w:eastAsia="黑体"/>
          <w:sz w:val="32"/>
          <w:szCs w:val="32"/>
        </w:rPr>
        <w:t>第三条</w:t>
      </w:r>
      <w:r>
        <w:rPr>
          <w:rFonts w:hint="eastAsia" w:ascii="仿宋_GB2312"/>
          <w:sz w:val="32"/>
          <w:szCs w:val="32"/>
        </w:rPr>
        <w:t xml:space="preserve"> 技术专家的工作职责：</w:t>
      </w:r>
    </w:p>
    <w:p>
      <w:pPr>
        <w:spacing w:line="596" w:lineRule="exact"/>
        <w:ind w:firstLine="620" w:firstLineChars="200"/>
        <w:rPr>
          <w:rFonts w:ascii="仿宋_GB2312"/>
          <w:sz w:val="32"/>
          <w:szCs w:val="32"/>
        </w:rPr>
      </w:pPr>
      <w:r>
        <w:rPr>
          <w:rFonts w:hint="eastAsia" w:ascii="仿宋_GB2312"/>
          <w:sz w:val="32"/>
          <w:szCs w:val="32"/>
        </w:rPr>
        <w:t>（一）接受人民法院对涉及案件审理技术问题的咨询并进行解答；</w:t>
      </w:r>
    </w:p>
    <w:p>
      <w:pPr>
        <w:spacing w:line="596" w:lineRule="exact"/>
        <w:ind w:firstLine="620" w:firstLineChars="200"/>
        <w:rPr>
          <w:rFonts w:ascii="仿宋_GB2312"/>
          <w:sz w:val="32"/>
          <w:szCs w:val="32"/>
        </w:rPr>
      </w:pPr>
      <w:r>
        <w:rPr>
          <w:rFonts w:hint="eastAsia" w:ascii="仿宋_GB2312"/>
          <w:sz w:val="32"/>
          <w:szCs w:val="32"/>
        </w:rPr>
        <w:t>（二）接受人民法院的委托参加技术论证会，协助合议庭查清案件技术事实。</w:t>
      </w:r>
    </w:p>
    <w:p>
      <w:pPr>
        <w:spacing w:line="596" w:lineRule="exact"/>
        <w:ind w:firstLine="620" w:firstLineChars="200"/>
        <w:rPr>
          <w:rFonts w:ascii="仿宋_GB2312"/>
          <w:sz w:val="32"/>
          <w:szCs w:val="32"/>
        </w:rPr>
      </w:pPr>
      <w:r>
        <w:rPr>
          <w:rFonts w:hint="eastAsia" w:ascii="黑体" w:hAnsi="黑体" w:eastAsia="黑体"/>
          <w:sz w:val="32"/>
          <w:szCs w:val="32"/>
        </w:rPr>
        <w:t>第四条</w:t>
      </w:r>
      <w:r>
        <w:rPr>
          <w:rFonts w:hint="eastAsia" w:ascii="仿宋_GB2312"/>
          <w:sz w:val="32"/>
          <w:szCs w:val="32"/>
        </w:rPr>
        <w:t xml:space="preserve"> 技术专家的权利：</w:t>
      </w:r>
    </w:p>
    <w:p>
      <w:pPr>
        <w:spacing w:line="596" w:lineRule="exact"/>
        <w:ind w:firstLine="620" w:firstLineChars="200"/>
        <w:rPr>
          <w:rFonts w:ascii="仿宋_GB2312"/>
          <w:sz w:val="32"/>
          <w:szCs w:val="32"/>
        </w:rPr>
      </w:pPr>
      <w:r>
        <w:rPr>
          <w:rFonts w:hint="eastAsia" w:ascii="仿宋_GB2312"/>
          <w:sz w:val="32"/>
          <w:szCs w:val="32"/>
        </w:rPr>
        <w:t>（一）查阅案件相关卷宗材料；</w:t>
      </w:r>
    </w:p>
    <w:p>
      <w:pPr>
        <w:spacing w:line="596" w:lineRule="exact"/>
        <w:ind w:firstLine="620" w:firstLineChars="200"/>
        <w:rPr>
          <w:rFonts w:ascii="仿宋_GB2312"/>
          <w:sz w:val="32"/>
          <w:szCs w:val="32"/>
        </w:rPr>
      </w:pPr>
      <w:r>
        <w:rPr>
          <w:rFonts w:hint="eastAsia" w:ascii="仿宋_GB2312"/>
          <w:sz w:val="32"/>
          <w:szCs w:val="32"/>
        </w:rPr>
        <w:t>（二）旁听案件审理；</w:t>
      </w:r>
    </w:p>
    <w:p>
      <w:pPr>
        <w:spacing w:line="596" w:lineRule="exact"/>
        <w:ind w:firstLine="620" w:firstLineChars="200"/>
        <w:jc w:val="left"/>
        <w:rPr>
          <w:rFonts w:ascii="仿宋_GB2312"/>
          <w:sz w:val="32"/>
          <w:szCs w:val="32"/>
        </w:rPr>
      </w:pPr>
      <w:r>
        <w:rPr>
          <w:rFonts w:hint="eastAsia" w:ascii="仿宋_GB2312"/>
          <w:sz w:val="32"/>
          <w:szCs w:val="32"/>
        </w:rPr>
        <w:t>（三）对案件所涉技术问题独立、充分发表意见和陈述理由。</w:t>
      </w:r>
    </w:p>
    <w:p>
      <w:pPr>
        <w:spacing w:line="596" w:lineRule="exact"/>
        <w:ind w:firstLine="620" w:firstLineChars="200"/>
        <w:jc w:val="left"/>
        <w:rPr>
          <w:rFonts w:ascii="仿宋_GB2312"/>
          <w:sz w:val="32"/>
          <w:szCs w:val="32"/>
        </w:rPr>
      </w:pPr>
      <w:r>
        <w:rPr>
          <w:rFonts w:hint="eastAsia" w:ascii="黑体" w:hAnsi="黑体" w:eastAsia="黑体"/>
          <w:sz w:val="32"/>
          <w:szCs w:val="32"/>
        </w:rPr>
        <w:t>第五条</w:t>
      </w:r>
      <w:r>
        <w:rPr>
          <w:rFonts w:hint="eastAsia" w:ascii="仿宋_GB2312"/>
          <w:sz w:val="32"/>
          <w:szCs w:val="32"/>
        </w:rPr>
        <w:t xml:space="preserve"> 技术专家的义务：</w:t>
      </w:r>
    </w:p>
    <w:p>
      <w:pPr>
        <w:spacing w:line="596" w:lineRule="exact"/>
        <w:ind w:firstLine="620" w:firstLineChars="200"/>
        <w:jc w:val="left"/>
        <w:rPr>
          <w:rFonts w:ascii="仿宋_GB2312"/>
          <w:sz w:val="32"/>
          <w:szCs w:val="32"/>
        </w:rPr>
      </w:pPr>
      <w:r>
        <w:rPr>
          <w:rFonts w:hint="eastAsia" w:ascii="仿宋_GB2312"/>
          <w:sz w:val="32"/>
          <w:szCs w:val="32"/>
        </w:rPr>
        <w:t>（一）应当对案件所涉技术问题进行认真分析和论证，并根据自己的认知能力、学术水平作出明确客观的答复；</w:t>
      </w:r>
    </w:p>
    <w:p>
      <w:pPr>
        <w:spacing w:line="596" w:lineRule="exact"/>
        <w:ind w:firstLine="620" w:firstLineChars="200"/>
        <w:jc w:val="left"/>
        <w:rPr>
          <w:rFonts w:ascii="仿宋_GB2312"/>
          <w:sz w:val="32"/>
          <w:szCs w:val="32"/>
        </w:rPr>
      </w:pPr>
      <w:r>
        <w:rPr>
          <w:rFonts w:hint="eastAsia" w:ascii="仿宋_GB2312"/>
          <w:sz w:val="32"/>
          <w:szCs w:val="32"/>
        </w:rPr>
        <w:t>（二）应当仅就案件所涉技术问题发表意见，对技术问题所引发的法律问题不作评价；</w:t>
      </w:r>
    </w:p>
    <w:p>
      <w:pPr>
        <w:spacing w:line="596" w:lineRule="exact"/>
        <w:ind w:firstLine="620" w:firstLineChars="200"/>
        <w:jc w:val="left"/>
        <w:rPr>
          <w:rFonts w:ascii="仿宋_GB2312"/>
          <w:sz w:val="32"/>
          <w:szCs w:val="32"/>
        </w:rPr>
      </w:pPr>
      <w:r>
        <w:rPr>
          <w:rFonts w:hint="eastAsia" w:ascii="仿宋_GB2312"/>
          <w:sz w:val="32"/>
          <w:szCs w:val="32"/>
        </w:rPr>
        <w:t>（三）应当对当事人及人民法院要求保密的涉案资料承担保密义务。</w:t>
      </w:r>
    </w:p>
    <w:p>
      <w:pPr>
        <w:spacing w:line="596" w:lineRule="exact"/>
        <w:ind w:firstLine="620" w:firstLineChars="200"/>
        <w:jc w:val="left"/>
        <w:rPr>
          <w:rFonts w:ascii="仿宋_GB2312"/>
          <w:sz w:val="32"/>
          <w:szCs w:val="32"/>
        </w:rPr>
      </w:pPr>
      <w:r>
        <w:rPr>
          <w:rFonts w:hint="eastAsia" w:ascii="黑体" w:hAnsi="黑体" w:eastAsia="黑体"/>
          <w:sz w:val="32"/>
          <w:szCs w:val="32"/>
        </w:rPr>
        <w:t>第六条</w:t>
      </w:r>
      <w:r>
        <w:rPr>
          <w:rFonts w:hint="eastAsia" w:ascii="仿宋_GB2312"/>
          <w:sz w:val="32"/>
          <w:szCs w:val="32"/>
        </w:rPr>
        <w:t xml:space="preserve"> 技术专家接受人民法院委托后，发现具有以下情形的，应当主动申请回避。</w:t>
      </w:r>
      <w:r>
        <w:rPr>
          <w:rFonts w:hint="eastAsia" w:ascii="仿宋_GB2312"/>
          <w:snapToGrid w:val="0"/>
          <w:kern w:val="0"/>
          <w:sz w:val="32"/>
          <w:szCs w:val="32"/>
        </w:rPr>
        <w:t>当事人也有权以口头或者书面形式申请回避，并说明理由。</w:t>
      </w:r>
    </w:p>
    <w:p>
      <w:pPr>
        <w:adjustRightInd w:val="0"/>
        <w:snapToGrid w:val="0"/>
        <w:spacing w:line="596" w:lineRule="exact"/>
        <w:ind w:firstLine="620" w:firstLineChars="200"/>
        <w:jc w:val="left"/>
        <w:rPr>
          <w:rFonts w:ascii="仿宋_GB2312"/>
          <w:snapToGrid w:val="0"/>
          <w:kern w:val="0"/>
          <w:sz w:val="32"/>
          <w:szCs w:val="32"/>
        </w:rPr>
      </w:pPr>
      <w:r>
        <w:rPr>
          <w:rFonts w:hint="eastAsia" w:ascii="仿宋_GB2312"/>
          <w:snapToGrid w:val="0"/>
          <w:kern w:val="0"/>
          <w:sz w:val="32"/>
          <w:szCs w:val="32"/>
        </w:rPr>
        <w:t>（一）是本案当事人或者当事人、诉讼代理人的近亲属；</w:t>
      </w:r>
    </w:p>
    <w:p>
      <w:pPr>
        <w:adjustRightInd w:val="0"/>
        <w:snapToGrid w:val="0"/>
        <w:spacing w:line="596" w:lineRule="exact"/>
        <w:ind w:firstLine="620" w:firstLineChars="200"/>
        <w:jc w:val="left"/>
        <w:rPr>
          <w:rFonts w:ascii="仿宋_GB2312"/>
          <w:snapToGrid w:val="0"/>
          <w:kern w:val="0"/>
          <w:sz w:val="32"/>
          <w:szCs w:val="32"/>
        </w:rPr>
      </w:pPr>
      <w:r>
        <w:rPr>
          <w:rFonts w:hint="eastAsia" w:ascii="仿宋_GB2312"/>
          <w:snapToGrid w:val="0"/>
          <w:kern w:val="0"/>
          <w:sz w:val="32"/>
          <w:szCs w:val="32"/>
        </w:rPr>
        <w:t>（二）与本案当事人有利害关系；</w:t>
      </w:r>
    </w:p>
    <w:p>
      <w:pPr>
        <w:adjustRightInd w:val="0"/>
        <w:snapToGrid w:val="0"/>
        <w:spacing w:line="596" w:lineRule="exact"/>
        <w:ind w:firstLine="620" w:firstLineChars="200"/>
        <w:jc w:val="left"/>
        <w:rPr>
          <w:rFonts w:ascii="仿宋_GB2312"/>
          <w:snapToGrid w:val="0"/>
          <w:kern w:val="0"/>
          <w:sz w:val="32"/>
          <w:szCs w:val="32"/>
        </w:rPr>
      </w:pPr>
      <w:r>
        <w:rPr>
          <w:rFonts w:hint="eastAsia" w:ascii="仿宋_GB2312"/>
          <w:snapToGrid w:val="0"/>
          <w:kern w:val="0"/>
          <w:sz w:val="32"/>
          <w:szCs w:val="32"/>
        </w:rPr>
        <w:t>（三）与本案当事人有其他关系，可能影响案件公正审理的；</w:t>
      </w:r>
    </w:p>
    <w:p>
      <w:pPr>
        <w:adjustRightInd w:val="0"/>
        <w:snapToGrid w:val="0"/>
        <w:spacing w:line="596" w:lineRule="exact"/>
        <w:ind w:firstLine="620" w:firstLineChars="200"/>
        <w:jc w:val="left"/>
        <w:rPr>
          <w:rFonts w:ascii="仿宋_GB2312"/>
          <w:snapToGrid w:val="0"/>
          <w:kern w:val="0"/>
          <w:sz w:val="32"/>
          <w:szCs w:val="32"/>
        </w:rPr>
      </w:pPr>
      <w:r>
        <w:rPr>
          <w:rFonts w:hint="eastAsia" w:ascii="仿宋_GB2312"/>
          <w:color w:val="000000"/>
          <w:kern w:val="0"/>
          <w:sz w:val="32"/>
          <w:szCs w:val="32"/>
        </w:rPr>
        <w:t>（四）有其他违反职业道德准则的行为，</w:t>
      </w:r>
      <w:r>
        <w:rPr>
          <w:rFonts w:hint="eastAsia" w:ascii="仿宋_GB2312"/>
          <w:snapToGrid w:val="0"/>
          <w:kern w:val="0"/>
          <w:sz w:val="32"/>
          <w:szCs w:val="32"/>
        </w:rPr>
        <w:t>可能影响案件公正审理的。</w:t>
      </w:r>
    </w:p>
    <w:p>
      <w:pPr>
        <w:spacing w:line="596" w:lineRule="exact"/>
        <w:ind w:firstLine="620" w:firstLineChars="200"/>
        <w:jc w:val="left"/>
        <w:rPr>
          <w:rFonts w:ascii="仿宋_GB2312"/>
          <w:sz w:val="32"/>
          <w:szCs w:val="32"/>
        </w:rPr>
      </w:pPr>
      <w:r>
        <w:rPr>
          <w:rFonts w:hint="eastAsia" w:ascii="黑体" w:hAnsi="黑体" w:eastAsia="黑体"/>
          <w:sz w:val="32"/>
          <w:szCs w:val="32"/>
        </w:rPr>
        <w:t>第七条</w:t>
      </w:r>
      <w:r>
        <w:rPr>
          <w:rFonts w:hint="eastAsia" w:ascii="仿宋_GB2312"/>
          <w:sz w:val="32"/>
          <w:szCs w:val="32"/>
        </w:rPr>
        <w:t xml:space="preserve"> 案件审理中涉及技术事实认定问题，审判人员需要向技术专家进行技术咨询的，应当提请合议庭讨论后决定，并优先在知识产权审判技术专家库名册内选择确定咨询对象。</w:t>
      </w:r>
    </w:p>
    <w:p>
      <w:pPr>
        <w:spacing w:line="596" w:lineRule="exact"/>
        <w:ind w:firstLine="620" w:firstLineChars="200"/>
        <w:jc w:val="left"/>
        <w:rPr>
          <w:rFonts w:ascii="仿宋_GB2312"/>
          <w:sz w:val="32"/>
          <w:szCs w:val="32"/>
        </w:rPr>
      </w:pPr>
      <w:r>
        <w:rPr>
          <w:rFonts w:hint="eastAsia" w:ascii="黑体" w:hAnsi="黑体" w:eastAsia="黑体"/>
          <w:sz w:val="32"/>
          <w:szCs w:val="32"/>
        </w:rPr>
        <w:t xml:space="preserve">第八条 </w:t>
      </w:r>
      <w:r>
        <w:rPr>
          <w:rFonts w:hint="eastAsia" w:ascii="仿宋_GB2312"/>
          <w:sz w:val="32"/>
          <w:szCs w:val="32"/>
        </w:rPr>
        <w:t>人民法院向技术专家进行技术咨询，主要采取口头咨询或书面咨询两种方式：</w:t>
      </w:r>
    </w:p>
    <w:p>
      <w:pPr>
        <w:spacing w:line="596" w:lineRule="exact"/>
        <w:ind w:firstLine="620" w:firstLineChars="200"/>
        <w:jc w:val="left"/>
        <w:rPr>
          <w:rFonts w:ascii="仿宋_GB2312"/>
          <w:sz w:val="32"/>
          <w:szCs w:val="32"/>
        </w:rPr>
      </w:pPr>
      <w:r>
        <w:rPr>
          <w:rFonts w:hint="eastAsia" w:ascii="仿宋_GB2312"/>
          <w:sz w:val="32"/>
          <w:szCs w:val="32"/>
        </w:rPr>
        <w:t>（一）采取口头咨询的，应当由审判人员（含书记员）两人以上参加，并制作咨询笔录，由技术专家、审判人员、书记员共同签字确认。</w:t>
      </w:r>
    </w:p>
    <w:p>
      <w:pPr>
        <w:spacing w:line="596" w:lineRule="exact"/>
        <w:ind w:firstLine="620" w:firstLineChars="200"/>
        <w:jc w:val="left"/>
        <w:rPr>
          <w:rFonts w:ascii="仿宋_GB2312"/>
          <w:sz w:val="32"/>
          <w:szCs w:val="32"/>
        </w:rPr>
      </w:pPr>
      <w:r>
        <w:rPr>
          <w:rFonts w:hint="eastAsia" w:ascii="仿宋_GB2312"/>
          <w:sz w:val="32"/>
          <w:szCs w:val="32"/>
        </w:rPr>
        <w:t>（二）采取书面咨询的，审判人员经与技术专家联系，应当及时将咨询函和有关材料送达技术专家，并在咨询函中列明需要咨询的技术问题。技术专家应当就咨询问题制作书面答复意见，并签字确认。</w:t>
      </w:r>
    </w:p>
    <w:p>
      <w:pPr>
        <w:spacing w:line="596" w:lineRule="exact"/>
        <w:ind w:firstLine="620" w:firstLineChars="200"/>
        <w:jc w:val="left"/>
        <w:rPr>
          <w:rFonts w:ascii="仿宋_GB2312"/>
          <w:sz w:val="32"/>
          <w:szCs w:val="32"/>
        </w:rPr>
      </w:pPr>
      <w:r>
        <w:rPr>
          <w:rFonts w:hint="eastAsia" w:ascii="仿宋_GB2312"/>
          <w:sz w:val="32"/>
          <w:szCs w:val="32"/>
        </w:rPr>
        <w:t>（三）除上述咨询方式外，审判人员还可以根据案件审理需要，采取召开技术论证会等其他咨询方式。</w:t>
      </w:r>
    </w:p>
    <w:p>
      <w:pPr>
        <w:spacing w:line="596" w:lineRule="exact"/>
        <w:ind w:firstLine="620" w:firstLineChars="200"/>
        <w:rPr>
          <w:rFonts w:ascii="仿宋_GB2312"/>
          <w:sz w:val="32"/>
          <w:szCs w:val="32"/>
        </w:rPr>
      </w:pPr>
      <w:r>
        <w:rPr>
          <w:rFonts w:hint="eastAsia" w:ascii="黑体" w:hAnsi="黑体" w:eastAsia="黑体"/>
          <w:sz w:val="32"/>
          <w:szCs w:val="32"/>
        </w:rPr>
        <w:t>第九条</w:t>
      </w:r>
      <w:r>
        <w:rPr>
          <w:rFonts w:hint="eastAsia" w:ascii="仿宋_GB2312"/>
          <w:sz w:val="32"/>
          <w:szCs w:val="32"/>
        </w:rPr>
        <w:t xml:space="preserve"> 技术专家出具的书面咨询意见以及参加技术论证会时出具的意见，作为合议庭了解相关技术问题的辅助性依据，应当装订入副卷保存。</w:t>
      </w:r>
    </w:p>
    <w:p>
      <w:pPr>
        <w:spacing w:line="596" w:lineRule="exact"/>
        <w:ind w:firstLine="620" w:firstLineChars="200"/>
        <w:rPr>
          <w:rFonts w:ascii="仿宋_GB2312"/>
          <w:sz w:val="32"/>
          <w:szCs w:val="32"/>
        </w:rPr>
      </w:pPr>
      <w:r>
        <w:rPr>
          <w:rFonts w:hint="eastAsia" w:ascii="黑体" w:hAnsi="黑体" w:eastAsia="黑体"/>
          <w:sz w:val="32"/>
          <w:szCs w:val="32"/>
        </w:rPr>
        <w:t xml:space="preserve">第十条 </w:t>
      </w:r>
      <w:r>
        <w:rPr>
          <w:rFonts w:hint="eastAsia" w:ascii="仿宋_GB2312"/>
          <w:sz w:val="32"/>
          <w:szCs w:val="32"/>
        </w:rPr>
        <w:t>人民法院向技术专家进行技术咨询或邀请其参加技术论证会的，应当根据技术专家所承担工作的实际情况支付相应的报酬，具体标准由各地人民法院酌情确定。</w:t>
      </w:r>
    </w:p>
    <w:p>
      <w:pPr>
        <w:spacing w:line="596" w:lineRule="exact"/>
        <w:ind w:firstLine="620" w:firstLineChars="200"/>
        <w:rPr>
          <w:rFonts w:ascii="仿宋_GB2312"/>
          <w:sz w:val="32"/>
          <w:szCs w:val="32"/>
        </w:rPr>
      </w:pPr>
      <w:r>
        <w:rPr>
          <w:rFonts w:hint="eastAsia" w:ascii="黑体" w:hAnsi="黑体" w:eastAsia="黑体"/>
          <w:sz w:val="32"/>
          <w:szCs w:val="32"/>
        </w:rPr>
        <w:t xml:space="preserve">第十一条 </w:t>
      </w:r>
      <w:r>
        <w:rPr>
          <w:rFonts w:hint="eastAsia" w:ascii="仿宋_GB2312"/>
          <w:sz w:val="32"/>
          <w:szCs w:val="32"/>
        </w:rPr>
        <w:t>人民法院应当根据审判工作的实际需要，定期对技术专家进行法律知识专业培训。</w:t>
      </w:r>
    </w:p>
    <w:p>
      <w:pPr>
        <w:spacing w:line="596" w:lineRule="exact"/>
        <w:ind w:firstLine="620" w:firstLineChars="200"/>
        <w:rPr>
          <w:rFonts w:ascii="仿宋_GB2312"/>
          <w:sz w:val="32"/>
          <w:szCs w:val="32"/>
        </w:rPr>
      </w:pPr>
      <w:r>
        <w:rPr>
          <w:rFonts w:hint="eastAsia" w:ascii="黑体" w:hAnsi="黑体" w:eastAsia="黑体"/>
          <w:sz w:val="32"/>
          <w:szCs w:val="32"/>
        </w:rPr>
        <w:t>第十二条</w:t>
      </w:r>
      <w:r>
        <w:rPr>
          <w:rFonts w:hint="eastAsia" w:ascii="仿宋_GB2312"/>
          <w:sz w:val="32"/>
          <w:szCs w:val="32"/>
        </w:rPr>
        <w:t xml:space="preserve"> 技术专家有下列情形之一的，应当免除其技术专家职务：</w:t>
      </w:r>
    </w:p>
    <w:p>
      <w:pPr>
        <w:spacing w:line="596" w:lineRule="exact"/>
        <w:ind w:firstLine="620" w:firstLineChars="200"/>
        <w:rPr>
          <w:rFonts w:ascii="仿宋_GB2312"/>
          <w:sz w:val="32"/>
          <w:szCs w:val="32"/>
        </w:rPr>
      </w:pPr>
      <w:r>
        <w:rPr>
          <w:rFonts w:hint="eastAsia" w:ascii="仿宋_GB2312"/>
          <w:sz w:val="32"/>
          <w:szCs w:val="32"/>
        </w:rPr>
        <w:t>（一）无正当理由，拒绝接受咨询或参加技术论证会，影响审判工作正常开展的；</w:t>
      </w:r>
    </w:p>
    <w:p>
      <w:pPr>
        <w:spacing w:line="596" w:lineRule="exact"/>
        <w:ind w:firstLine="620" w:firstLineChars="200"/>
        <w:rPr>
          <w:rFonts w:ascii="仿宋_GB2312"/>
          <w:sz w:val="32"/>
          <w:szCs w:val="32"/>
        </w:rPr>
      </w:pPr>
      <w:r>
        <w:rPr>
          <w:rFonts w:hint="eastAsia" w:ascii="仿宋_GB2312"/>
          <w:sz w:val="32"/>
          <w:szCs w:val="32"/>
        </w:rPr>
        <w:t>（二）徇私舞弊影响案件审理的；</w:t>
      </w:r>
    </w:p>
    <w:p>
      <w:pPr>
        <w:spacing w:line="596" w:lineRule="exact"/>
        <w:ind w:firstLine="620" w:firstLineChars="200"/>
        <w:rPr>
          <w:rFonts w:ascii="仿宋_GB2312"/>
          <w:sz w:val="32"/>
          <w:szCs w:val="32"/>
        </w:rPr>
      </w:pPr>
      <w:r>
        <w:rPr>
          <w:rFonts w:hint="eastAsia" w:ascii="仿宋_GB2312"/>
          <w:sz w:val="32"/>
          <w:szCs w:val="32"/>
        </w:rPr>
        <w:t>（三）本人申请辞去技术专家职务的。</w:t>
      </w:r>
    </w:p>
    <w:p>
      <w:pPr>
        <w:spacing w:line="596" w:lineRule="exact"/>
        <w:ind w:firstLine="620" w:firstLineChars="200"/>
        <w:rPr>
          <w:rFonts w:ascii="仿宋_GB2312"/>
          <w:sz w:val="32"/>
          <w:szCs w:val="32"/>
        </w:rPr>
      </w:pPr>
      <w:r>
        <w:rPr>
          <w:rFonts w:hint="eastAsia" w:ascii="黑体" w:hAnsi="黑体" w:eastAsia="黑体"/>
          <w:sz w:val="32"/>
          <w:szCs w:val="32"/>
        </w:rPr>
        <w:t>第十三条</w:t>
      </w:r>
      <w:r>
        <w:rPr>
          <w:rFonts w:hint="eastAsia" w:ascii="仿宋_GB2312"/>
          <w:sz w:val="32"/>
          <w:szCs w:val="32"/>
        </w:rPr>
        <w:t xml:space="preserve"> 技术专家因故意造成案件技术事实认定错误，妨碍司法公正的，应当承担相应的法律责任。</w:t>
      </w:r>
    </w:p>
    <w:p>
      <w:pPr>
        <w:spacing w:line="596" w:lineRule="exact"/>
        <w:ind w:firstLine="620" w:firstLineChars="200"/>
        <w:rPr>
          <w:rFonts w:ascii="仿宋_GB2312"/>
          <w:sz w:val="32"/>
          <w:szCs w:val="32"/>
        </w:rPr>
      </w:pPr>
      <w:r>
        <w:rPr>
          <w:rFonts w:hint="eastAsia" w:ascii="黑体" w:hAnsi="黑体" w:eastAsia="黑体"/>
          <w:sz w:val="32"/>
          <w:szCs w:val="32"/>
        </w:rPr>
        <w:t xml:space="preserve">第十四条 </w:t>
      </w:r>
      <w:r>
        <w:rPr>
          <w:rFonts w:hint="eastAsia" w:ascii="仿宋_GB2312"/>
          <w:sz w:val="32"/>
          <w:szCs w:val="32"/>
        </w:rPr>
        <w:t>技术专家任期为三年，任期届满后可以连任。知识产权审判技术专家库名册根据技术专家的增补、变更情况及时更新。</w:t>
      </w:r>
    </w:p>
    <w:p>
      <w:pPr>
        <w:spacing w:line="596" w:lineRule="exact"/>
        <w:ind w:firstLine="620" w:firstLineChars="200"/>
        <w:rPr>
          <w:rFonts w:ascii="仿宋_GB2312"/>
          <w:sz w:val="32"/>
          <w:szCs w:val="32"/>
        </w:rPr>
      </w:pPr>
      <w:r>
        <w:rPr>
          <w:rFonts w:hint="eastAsia" w:ascii="黑体" w:hAnsi="黑体" w:eastAsia="黑体"/>
          <w:sz w:val="32"/>
          <w:szCs w:val="32"/>
        </w:rPr>
        <w:t>第十五条</w:t>
      </w:r>
      <w:r>
        <w:rPr>
          <w:rFonts w:hint="eastAsia" w:ascii="仿宋_GB2312"/>
          <w:sz w:val="32"/>
          <w:szCs w:val="32"/>
        </w:rPr>
        <w:t xml:space="preserve"> 人民法院需要聘请部分技术专家担任人民陪审员的，可以提请当地人大任命技术专家为人民陪审员，并按照《浙江省高级人民法院关于知识产权审判专业型人民陪审员管理的若干意见》的有关规定参与案件的审理。</w:t>
      </w:r>
    </w:p>
    <w:p>
      <w:pPr>
        <w:spacing w:line="596" w:lineRule="exact"/>
        <w:ind w:firstLine="620" w:firstLineChars="200"/>
        <w:rPr>
          <w:rFonts w:ascii="仿宋_GB2312"/>
          <w:sz w:val="32"/>
          <w:szCs w:val="32"/>
        </w:rPr>
      </w:pPr>
      <w:r>
        <w:rPr>
          <w:rFonts w:hint="eastAsia" w:ascii="黑体" w:hAnsi="黑体" w:eastAsia="黑体"/>
          <w:sz w:val="32"/>
          <w:szCs w:val="32"/>
        </w:rPr>
        <w:t>第十六条</w:t>
      </w:r>
      <w:r>
        <w:rPr>
          <w:rFonts w:hint="eastAsia" w:ascii="仿宋_GB2312"/>
          <w:sz w:val="32"/>
          <w:szCs w:val="32"/>
        </w:rPr>
        <w:t xml:space="preserve"> 本规定自公布之日起施行。</w:t>
      </w:r>
    </w:p>
    <w:p>
      <w:pPr>
        <w:spacing w:line="596" w:lineRule="exact"/>
        <w:ind w:firstLine="620" w:firstLineChars="200"/>
        <w:rPr>
          <w:rFonts w:ascii="仿宋_GB2312"/>
          <w:sz w:val="32"/>
          <w:szCs w:val="32"/>
        </w:rPr>
      </w:pPr>
    </w:p>
    <w:p>
      <w:pPr>
        <w:spacing w:beforeLines="20" w:line="596" w:lineRule="exact"/>
        <w:ind w:firstLine="620" w:firstLineChars="200"/>
        <w:rPr>
          <w:rFonts w:ascii="仿宋_GB2312"/>
          <w:sz w:val="32"/>
          <w:szCs w:val="32"/>
        </w:rPr>
      </w:pPr>
    </w:p>
    <w:p>
      <w:pPr>
        <w:spacing w:beforeLines="20" w:line="596" w:lineRule="exact"/>
        <w:ind w:firstLine="620" w:firstLineChars="200"/>
        <w:rPr>
          <w:rFonts w:ascii="仿宋_GB2312"/>
          <w:sz w:val="32"/>
          <w:szCs w:val="32"/>
        </w:rPr>
      </w:pPr>
    </w:p>
    <w:p>
      <w:pPr>
        <w:spacing w:line="596" w:lineRule="exact"/>
        <w:ind w:right="927"/>
        <w:jc w:val="right"/>
        <w:rPr>
          <w:sz w:val="32"/>
          <w:szCs w:val="32"/>
        </w:rPr>
      </w:pPr>
      <w:r>
        <w:rPr>
          <w:sz w:val="32"/>
          <w:szCs w:val="32"/>
        </w:rPr>
        <w:t>浙江省高级人民法院</w:t>
      </w:r>
    </w:p>
    <w:p>
      <w:pPr>
        <w:spacing w:afterLines="50" w:line="596" w:lineRule="exact"/>
        <w:ind w:firstLine="5580" w:firstLineChars="1800"/>
        <w:jc w:val="left"/>
        <w:rPr>
          <w:b/>
          <w:szCs w:val="28"/>
        </w:rPr>
      </w:pPr>
      <w:r>
        <w:rPr>
          <w:sz w:val="32"/>
          <w:szCs w:val="32"/>
        </w:rPr>
        <w:t>2013年4月2日</w:t>
      </w:r>
    </w:p>
    <w:p>
      <w:pPr>
        <w:spacing w:line="596" w:lineRule="exact"/>
        <w:ind w:firstLine="620" w:firstLineChars="200"/>
        <w:rPr>
          <w:rFonts w:ascii="仿宋_GB2312"/>
          <w:sz w:val="32"/>
          <w:szCs w:val="32"/>
        </w:rPr>
      </w:pPr>
    </w:p>
    <w:p/>
    <w:sectPr>
      <w:footerReference r:id="rId3" w:type="default"/>
      <w:footerReference r:id="rId4" w:type="even"/>
      <w:pgSz w:w="11907" w:h="16840"/>
      <w:pgMar w:top="1871" w:right="1418" w:bottom="1701" w:left="1474" w:header="851" w:footer="1588" w:gutter="0"/>
      <w:cols w:space="720" w:num="1"/>
      <w:docGrid w:type="linesAndChars" w:linePitch="600" w:charSpace="-21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3</w:t>
    </w:r>
    <w:r>
      <w:rPr>
        <w:sz w:val="28"/>
        <w:szCs w:val="28"/>
      </w:rPr>
      <w:fldChar w:fldCharType="end"/>
    </w:r>
    <w:r>
      <w:rPr>
        <w:rStyle w:val="4"/>
        <w:rFonts w:hint="eastAsia"/>
        <w:sz w:val="28"/>
        <w:szCs w:val="28"/>
      </w:rPr>
      <w:t xml:space="preserve"> —</w:t>
    </w:r>
  </w:p>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separate"/>
    </w:r>
    <w:r>
      <w:rPr>
        <w:rStyle w:val="4"/>
        <w:lang w:val="en-US" w:eastAsia="zh-CN"/>
      </w:rPr>
      <w:t>1</w: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D3800"/>
    <w:rsid w:val="19DD380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2018-08-07T06:47:00Z</dcterms:created>
  <dc:creator>水果</dc:creator>
  <cp:lastModifiedBy>水果</cp:lastModifiedBy>
  <dcterms:modified xsi:type="dcterms:W3CDTF">2018-08-07T06:47:55Z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