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bookmarkStart w:id="0" w:name="_GoBack"/>
      <w:bookmarkEnd w:id="0"/>
    </w:p>
    <w:p>
      <w:pPr>
        <w:snapToGrid w:val="0"/>
        <w:spacing w:line="580" w:lineRule="exact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生物医学新技术临床转化应用审批工作规范（征求意见稿）起草说明</w:t>
      </w:r>
    </w:p>
    <w:p>
      <w:pPr>
        <w:snapToGrid w:val="0"/>
        <w:spacing w:line="580" w:lineRule="exact"/>
        <w:jc w:val="center"/>
        <w:rPr>
          <w:rFonts w:ascii="Times New Roman" w:hAnsi="Times New Roman" w:eastAsia="仿宋_GB2312" w:cs="方正小标宋简体"/>
          <w:bCs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黑体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bCs/>
          <w:kern w:val="0"/>
          <w:sz w:val="32"/>
          <w:szCs w:val="32"/>
        </w:rPr>
        <w:t>一</w:t>
      </w:r>
      <w:r>
        <w:rPr>
          <w:rFonts w:ascii="Times New Roman" w:hAnsi="Times New Roman" w:eastAsia="黑体" w:cs="宋体"/>
          <w:bCs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宋体"/>
          <w:bCs/>
          <w:kern w:val="0"/>
          <w:sz w:val="32"/>
          <w:szCs w:val="32"/>
        </w:rPr>
        <w:t>起草</w:t>
      </w:r>
      <w:r>
        <w:rPr>
          <w:rFonts w:ascii="Times New Roman" w:hAnsi="Times New Roman" w:eastAsia="黑体" w:cs="宋体"/>
          <w:bCs/>
          <w:kern w:val="0"/>
          <w:sz w:val="32"/>
          <w:szCs w:val="32"/>
        </w:rPr>
        <w:t>背景</w:t>
      </w:r>
      <w:r>
        <w:rPr>
          <w:rFonts w:hint="eastAsia" w:ascii="Times New Roman" w:hAnsi="Times New Roman" w:eastAsia="黑体" w:cs="宋体"/>
          <w:bCs/>
          <w:kern w:val="0"/>
          <w:sz w:val="32"/>
          <w:szCs w:val="32"/>
        </w:rPr>
        <w:t>与</w:t>
      </w:r>
      <w:r>
        <w:rPr>
          <w:rFonts w:ascii="Times New Roman" w:hAnsi="Times New Roman" w:eastAsia="黑体" w:cs="宋体"/>
          <w:bCs/>
          <w:kern w:val="0"/>
          <w:sz w:val="32"/>
          <w:szCs w:val="32"/>
        </w:rPr>
        <w:t>过程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2025年9月，国务院审议通过《生物医学新技术临床研究和临床转化应用管理条例》，将于今年5月1日起施行。为规范开展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生物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医学新技术临床转化应用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审批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工作，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我委组织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起草了《生物医学新技术临床转化应用申请审查工作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规范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》，通过系列</w:t>
      </w:r>
      <w:r>
        <w:rPr>
          <w:rFonts w:hint="default" w:ascii="仿宋_GB2312" w:hAnsi="仿宋_GB2312" w:eastAsia="仿宋_GB2312" w:cs="仿宋_GB2312"/>
          <w:sz w:val="32"/>
          <w:szCs w:val="32"/>
        </w:rPr>
        <w:t>调研、专题研讨、座谈、走访和书面征求意见等形式，广泛听取国务院有关部门、地方政府、卫生健康部门、医疗卫生机构、生物企业和相关专家意见建议，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并</w:t>
      </w:r>
      <w:r>
        <w:rPr>
          <w:rFonts w:hint="default" w:ascii="仿宋_GB2312" w:hAnsi="仿宋_GB2312" w:eastAsia="仿宋_GB2312" w:cs="仿宋_GB2312"/>
          <w:sz w:val="32"/>
          <w:szCs w:val="32"/>
        </w:rPr>
        <w:t>根据各方面意见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修改完善，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形成《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生物医学新技术临床转化应用审批工作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规范》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征求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意见稿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（以下简称《工作规范》）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黑体" w:cs="宋体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b w:val="0"/>
          <w:bCs w:val="0"/>
          <w:kern w:val="0"/>
          <w:sz w:val="32"/>
          <w:szCs w:val="32"/>
        </w:rPr>
        <w:t>二</w:t>
      </w:r>
      <w:r>
        <w:rPr>
          <w:rFonts w:ascii="Times New Roman" w:hAnsi="Times New Roman" w:eastAsia="黑体" w:cs="宋体"/>
          <w:b w:val="0"/>
          <w:bCs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宋体"/>
          <w:b w:val="0"/>
          <w:bCs w:val="0"/>
          <w:kern w:val="0"/>
          <w:sz w:val="32"/>
          <w:szCs w:val="32"/>
        </w:rPr>
        <w:t>主要内容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宋体"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《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工作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规范》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  <w:highlight w:val="none"/>
        </w:rPr>
        <w:t>共五章二十六条：</w:t>
      </w:r>
    </w:p>
    <w:p>
      <w:pPr>
        <w:snapToGrid w:val="0"/>
        <w:spacing w:line="580" w:lineRule="exact"/>
        <w:ind w:firstLine="643" w:firstLineChars="200"/>
        <w:rPr>
          <w:rFonts w:hint="default" w:ascii="Times New Roman" w:hAnsi="Times New Roman" w:eastAsia="仿宋_GB2312" w:cs="宋体"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highlight w:val="none"/>
        </w:rPr>
        <w:t>第一章总则</w:t>
      </w:r>
      <w:r>
        <w:rPr>
          <w:rFonts w:hint="eastAsia" w:ascii="Times New Roman" w:hAnsi="Times New Roman" w:eastAsia="宋体" w:cs="MS Mincho"/>
          <w:b/>
          <w:bCs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宋体"/>
          <w:b w:val="0"/>
          <w:bCs/>
          <w:kern w:val="0"/>
          <w:sz w:val="32"/>
          <w:szCs w:val="32"/>
          <w:highlight w:val="none"/>
        </w:rPr>
        <w:t>明确了目的依据、适用范围</w:t>
      </w:r>
      <w:r>
        <w:rPr>
          <w:rFonts w:hint="default" w:ascii="Times New Roman" w:hAnsi="Times New Roman" w:eastAsia="仿宋_GB2312" w:cs="宋体"/>
          <w:b w:val="0"/>
          <w:bCs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审批范围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  <w:highlight w:val="none"/>
        </w:rPr>
        <w:t>、审批原则和管理职责。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highlight w:val="none"/>
        </w:rPr>
        <w:t>第二章申请与受理</w:t>
      </w:r>
      <w:r>
        <w:rPr>
          <w:rFonts w:hint="eastAsia" w:ascii="Times New Roman" w:hAnsi="Times New Roman" w:eastAsia="宋体" w:cs="MS Mincho"/>
          <w:bCs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  <w:highlight w:val="none"/>
        </w:rPr>
        <w:t>规定了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生物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  <w:highlight w:val="none"/>
        </w:rPr>
        <w:t>医学新技术临床转化应用申请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的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  <w:highlight w:val="none"/>
        </w:rPr>
        <w:t>条件、申请材料、形式审查与受理程序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。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highlight w:val="none"/>
        </w:rPr>
        <w:t>第三章审查与决定</w:t>
      </w:r>
      <w:r>
        <w:rPr>
          <w:rFonts w:hint="eastAsia" w:ascii="Times New Roman" w:hAnsi="Times New Roman" w:eastAsia="宋体" w:cs="MS Mincho"/>
          <w:bCs/>
          <w:kern w:val="0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  <w:highlight w:val="none"/>
        </w:rPr>
        <w:t>规定了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专家评估与部门审核相结合的审查方式，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详述了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  <w:highlight w:val="none"/>
        </w:rPr>
        <w:t>材料核查、技术和伦理评估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  <w:highlight w:val="none"/>
        </w:rPr>
        <w:t>、许可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决定形成等核心审批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流程，明确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  <w:highlight w:val="none"/>
        </w:rPr>
        <w:t>了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优先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  <w:highlight w:val="none"/>
        </w:rPr>
        <w:t>审查审批和紧急应用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等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  <w:highlight w:val="none"/>
        </w:rPr>
        <w:t>特殊审批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通道。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highlight w:val="none"/>
        </w:rPr>
        <w:t>第四章</w:t>
      </w:r>
      <w:r>
        <w:rPr>
          <w:rFonts w:hint="default" w:ascii="Times New Roman" w:hAnsi="Times New Roman" w:eastAsia="仿宋_GB2312" w:cs="宋体"/>
          <w:b/>
          <w:bCs/>
          <w:kern w:val="0"/>
          <w:sz w:val="32"/>
          <w:szCs w:val="32"/>
          <w:highlight w:val="none"/>
        </w:rPr>
        <w:t>临床应用</w:t>
      </w: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highlight w:val="none"/>
        </w:rPr>
        <w:t>管理</w:t>
      </w:r>
      <w:r>
        <w:rPr>
          <w:rFonts w:hint="eastAsia" w:ascii="Times New Roman" w:hAnsi="Times New Roman" w:eastAsia="宋体" w:cs="MS Mincho"/>
          <w:bCs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规定了生物医学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  <w:highlight w:val="none"/>
        </w:rPr>
        <w:t>新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技术获批后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  <w:highlight w:val="none"/>
        </w:rPr>
        <w:t>临床应用管理、医疗质量安全管理、应用情况报告、再评估、监督管理要求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  <w:highlight w:val="none"/>
        </w:rPr>
        <w:t>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仿宋_GB2312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</w:rPr>
        <w:t>第五章附则</w:t>
      </w:r>
      <w:r>
        <w:rPr>
          <w:rFonts w:hint="eastAsia" w:ascii="Times New Roman" w:hAnsi="Times New Roman" w:eastAsia="宋体" w:cs="MS Mincho"/>
          <w:bCs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明确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了《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工作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规范》的解释权和生效时间。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黑体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bCs/>
          <w:kern w:val="0"/>
          <w:sz w:val="32"/>
          <w:szCs w:val="32"/>
        </w:rPr>
        <w:t>三、重点问题说明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一</w:t>
      </w: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关于审批范围。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依据《条例》立法精神，为推动生物医学新技术与生物医药产业协同互补发展，促进医学科技进步创新，《工作规范》第三条规定了审批范围，明确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对于已经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明显具备产品形态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能够进行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标准化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、规模化生产的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药品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、医疗器械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均不纳入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生物医学新技术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临床转化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应用审批范围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。此外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，审批范围中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关于“同类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机制原理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”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的界定标准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，因不同技术特点会有所不同，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将研究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分类另行制订。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宋体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（二）关于多中心独立验证。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《专利法》规定疾病诊疗方法不授予专利权。《条例》规定生物医学新技术临床转化应用获批后，需公布临床应用操作规范，符合条件的机构和人员可以按规定使用。为保障人民群众健康，确保经审批的技术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成熟、</w:t>
      </w:r>
      <w:r>
        <w:rPr>
          <w:rFonts w:ascii="Times New Roman" w:hAnsi="Times New Roman" w:eastAsia="仿宋_GB2312" w:cs="宋体"/>
          <w:bCs/>
          <w:kern w:val="0"/>
          <w:sz w:val="32"/>
          <w:szCs w:val="32"/>
        </w:rPr>
        <w:t>稳定、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可重复，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其他机构人员遵守规范应用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可获得一致性结果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，我们提出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多中心独立验证的</w:t>
      </w:r>
      <w:r>
        <w:rPr>
          <w:rFonts w:hint="default" w:ascii="Times New Roman" w:hAnsi="Times New Roman" w:eastAsia="仿宋_GB2312" w:cs="宋体"/>
          <w:bCs/>
          <w:kern w:val="0"/>
          <w:sz w:val="32"/>
          <w:szCs w:val="32"/>
        </w:rPr>
        <w:t>要求</w:t>
      </w:r>
      <w:r>
        <w:rPr>
          <w:rFonts w:hint="eastAsia" w:ascii="Times New Roman" w:hAnsi="Times New Roman" w:eastAsia="仿宋_GB2312" w:cs="宋体"/>
          <w:bCs/>
          <w:kern w:val="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（三）关于批准后风险分级管理。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生物医学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新技术从</w:t>
      </w:r>
      <w:r>
        <w:rPr>
          <w:rFonts w:ascii="Times New Roman" w:hAnsi="Times New Roman" w:eastAsia="仿宋_GB2312" w:cs="Times New Roman"/>
          <w:sz w:val="32"/>
          <w:szCs w:val="32"/>
        </w:rPr>
        <w:t>发明创造、概念验证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临床前评价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到临床研究的</w:t>
      </w:r>
      <w:r>
        <w:rPr>
          <w:rFonts w:ascii="Times New Roman" w:hAnsi="Times New Roman" w:eastAsia="仿宋_GB2312" w:cs="Times New Roman"/>
          <w:sz w:val="32"/>
          <w:szCs w:val="32"/>
        </w:rPr>
        <w:t>总体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持续时间</w:t>
      </w:r>
      <w:r>
        <w:rPr>
          <w:rFonts w:ascii="Times New Roman" w:hAnsi="Times New Roman" w:eastAsia="仿宋_GB2312" w:cs="Times New Roman"/>
          <w:sz w:val="32"/>
          <w:szCs w:val="32"/>
        </w:rPr>
        <w:t>普遍较短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由于当前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</w:t>
      </w:r>
      <w:r>
        <w:rPr>
          <w:rFonts w:ascii="Times New Roman" w:hAnsi="Times New Roman" w:eastAsia="仿宋_GB2312" w:cs="Times New Roman"/>
          <w:sz w:val="32"/>
          <w:szCs w:val="32"/>
        </w:rPr>
        <w:t>发展水平和认识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局限性，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研究过程中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一些未知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安全性问题未</w:t>
      </w:r>
      <w:r>
        <w:rPr>
          <w:rFonts w:ascii="Times New Roman" w:hAnsi="Times New Roman" w:eastAsia="仿宋_GB2312" w:cs="Times New Roman"/>
          <w:sz w:val="32"/>
          <w:szCs w:val="32"/>
        </w:rPr>
        <w:t>充分暴露或存在远期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风险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因此</w:t>
      </w:r>
      <w:r>
        <w:rPr>
          <w:rFonts w:ascii="Times New Roman" w:hAnsi="Times New Roman" w:eastAsia="仿宋_GB2312" w:cs="Times New Roman"/>
          <w:sz w:val="32"/>
          <w:szCs w:val="32"/>
        </w:rPr>
        <w:t>有必要划定技术的风险等级并实行差异化的监管，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在一定期限内限制使用范围，</w:t>
      </w:r>
      <w:r>
        <w:rPr>
          <w:rFonts w:ascii="Times New Roman" w:hAnsi="Times New Roman" w:eastAsia="仿宋_GB2312" w:cs="Times New Roman"/>
          <w:sz w:val="32"/>
          <w:szCs w:val="32"/>
        </w:rPr>
        <w:t>对技术应用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情况</w:t>
      </w:r>
      <w:r>
        <w:rPr>
          <w:rFonts w:ascii="Times New Roman" w:hAnsi="Times New Roman" w:eastAsia="仿宋_GB2312" w:cs="Times New Roman"/>
          <w:sz w:val="32"/>
          <w:szCs w:val="32"/>
        </w:rPr>
        <w:t>进行长期随访跟踪，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以便</w:t>
      </w:r>
      <w:r>
        <w:rPr>
          <w:rFonts w:ascii="Times New Roman" w:hAnsi="Times New Roman" w:eastAsia="仿宋_GB2312" w:cs="Times New Roman"/>
          <w:sz w:val="32"/>
          <w:szCs w:val="32"/>
        </w:rPr>
        <w:t>获得更丰富的真实世界证据，从而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更好地控制风险，</w:t>
      </w:r>
      <w:r>
        <w:rPr>
          <w:rFonts w:ascii="Times New Roman" w:hAnsi="Times New Roman" w:eastAsia="仿宋_GB2312" w:cs="Times New Roman"/>
          <w:sz w:val="32"/>
          <w:szCs w:val="32"/>
        </w:rPr>
        <w:t>更大限度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地</w:t>
      </w:r>
      <w:r>
        <w:rPr>
          <w:rFonts w:ascii="Times New Roman" w:hAnsi="Times New Roman" w:eastAsia="仿宋_GB2312" w:cs="Times New Roman"/>
          <w:sz w:val="32"/>
          <w:szCs w:val="32"/>
        </w:rPr>
        <w:t>保障公众安全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rPr>
          <w:rFonts w:ascii="Times New Roman" w:hAnsi="Times New Roman" w:eastAsia="宋体" w:cs="Times New Roman"/>
        </w:rPr>
      </w:pPr>
    </w:p>
    <w:p>
      <w:pPr>
        <w:spacing w:line="580" w:lineRule="exact"/>
        <w:rPr>
          <w:rFonts w:ascii="Times New Roman" w:hAnsi="Times New Roman" w:eastAsia="宋体" w:cs="Times New Roma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71" w:bottom="1440" w:left="1571" w:header="284" w:footer="28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S Mincho">
    <w:altName w:val="宋体"/>
    <w:panose1 w:val="02020609040205080304"/>
    <w:charset w:val="00"/>
    <w:family w:val="modern"/>
    <w:pitch w:val="default"/>
    <w:sig w:usb0="00000000" w:usb1="00000000" w:usb2="00000012" w:usb3="00000000" w:csb0="0002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2432685</wp:posOffset>
              </wp:positionH>
              <wp:positionV relativeFrom="paragraph">
                <wp:posOffset>-190500</wp:posOffset>
              </wp:positionV>
              <wp:extent cx="814070" cy="19558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1407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firstLine="140" w:firstLineChars="50"/>
                            <w:rPr>
                              <w:rFonts w:ascii="Calibri" w:hAnsi="Calibri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Calibri" w:hAnsi="Calibri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55pt;margin-top:-15pt;height:15.4pt;width:64.1pt;mso-position-horizontal-relative:margin;z-index:251658240;mso-width-relative:page;mso-height-relative:page;" filled="f" stroked="f" coordsize="21600,21600" o:gfxdata="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C6PTm7XAAAACAEAAA8AAAAAAAAAAQAgAAAAOAAAAGRycy9kb3du&#10;cmV2LnhtbFBLAQIUABQAAAAIAIdO4kDDJm+lsQEAAEYDAAAOAAAAAAAAAAEAIAAAADw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140" w:firstLineChars="50"/>
                      <w:rPr>
                        <w:rFonts w:ascii="Calibri" w:hAnsi="Calibri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Calibri" w:hAnsi="Calibri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ascii="Calibri" w:hAnsi="Calibri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Calibri" w:hAnsi="Calibri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Calibri" w:hAnsi="Calibri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Calibri" w:hAnsi="Calibri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7EAA5C"/>
    <w:rsid w:val="596FA0A4"/>
    <w:rsid w:val="753FC869"/>
    <w:rsid w:val="7DB61055"/>
    <w:rsid w:val="7E59B21C"/>
    <w:rsid w:val="BD7EAA5C"/>
    <w:rsid w:val="FBF7FECB"/>
    <w:rsid w:val="FED72F6F"/>
    <w:rsid w:val="FF3DB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customStyle="1" w:styleId="7">
    <w:name w:val="样式1"/>
    <w:qFormat/>
    <w:uiPriority w:val="0"/>
    <w:pPr>
      <w:widowControl w:val="0"/>
      <w:jc w:val="left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customStyle="1" w:styleId="8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2026-04-20T03:25:00Z</dcterms:created>
  <dc:creator>wujc</dc:creator>
  <cp:lastModifiedBy>wjw</cp:lastModifiedBy>
  <dcterms:modified xsi:type="dcterms:W3CDTF">2026-04-19T11:50:04Z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